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B7" w:rsidRPr="00054E1A" w:rsidRDefault="00CC44B7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4B78A0" w:rsidRPr="00054E1A" w:rsidRDefault="00F46E7E" w:rsidP="00F46E7E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Apenso</w:t>
      </w:r>
      <w:r w:rsidR="004B78A0" w:rsidRPr="00054E1A">
        <w:rPr>
          <w:rFonts w:ascii="Arial" w:hAnsi="Arial" w:cs="Arial"/>
          <w:b/>
          <w:color w:val="000000" w:themeColor="text1"/>
        </w:rPr>
        <w:t xml:space="preserve"> III</w:t>
      </w:r>
    </w:p>
    <w:p w:rsidR="0022544D" w:rsidRDefault="0022544D" w:rsidP="00F46E7E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054E1A">
        <w:rPr>
          <w:rFonts w:ascii="Arial" w:hAnsi="Arial" w:cs="Arial"/>
          <w:b/>
          <w:bCs/>
          <w:color w:val="000000" w:themeColor="text1"/>
        </w:rPr>
        <w:t>INSTRUMENTO DE MEDIÇÃO DE RESULTADO – IMR</w:t>
      </w:r>
    </w:p>
    <w:p w:rsidR="00F46E7E" w:rsidRPr="00054E1A" w:rsidRDefault="00F46E7E" w:rsidP="00F46E7E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bCs/>
          <w:color w:val="000000" w:themeColor="text1"/>
        </w:rPr>
        <w:t>1. INFORMAÇÕES GERAIS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1.1. Definição: Instrumento de Medição de Resultado – IMR é o mecanismo que define, em bases compreensíveis, tangíveis, objetivamente observáveis e comprováveis, os níveis esperados de qualidade da prestação do serviço e respectivas adequações de pagamento.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1.2. Objetivo a atingir: prestação do serviço de locação de veículos SUV híbridos plug-in em elevados níveis de qualidade.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1.3. Forma de avaliação: definição de situações que caracterizem o não atingimento do objetivo e atribuição de descontos no valor de pagamento devido.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1.4. Apuração: ao final de cada período de apuração (mensal), a fiscalização do contrato encaminhará ao gestor do contrato o relatório de recebimento provisório do objeto, no qual deverá constar a avaliação dos serviços prestados, conforme os critérios deste IMR. O gestor do contrato receberá todos os relatórios, efetuará a medição do valor mensal devido, já ajustado ao IMR, e dará ciência à Contratada, solicitando a emissão de documento de cobrança pelo valor medido e a adoção das medidas recomendadas, se houver.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1.5. Sanções: embora a aplicação de índices de desconto seja instrumento de gestão contratual, não configurando sanção, a Contratante poderá, pela qualidade insuficiente, aplicar as penalidades previstas no Instrumento de Contrato.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bCs/>
          <w:color w:val="000000" w:themeColor="text1"/>
        </w:rPr>
        <w:t>2. CONDIÇÕES GERAIS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2.1. Para o acompanhamento e avaliação dos serviços da Contratada será estabelecido e utilizado o Instrumento de Medição de Resultado – IMR, baseando-se em indicadores e metas definidos abaixo.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2.2. A análise dos resultados destas avaliações pela Contratante poderá resultar em desconto no valor mensal, conforme prevê o Processo de Aferição, caso a Contratada não cumpra os compromissos estabelecidos pelos indicadores.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2.3. O IMR deve ser considerado e entendido pela Contratada como um compromisso de qualidade que assumirá junto à Contratante. O IMR é um instrumento ágil e objetivo de avaliação da qualidade da execução contratual, associando o pagamento à qualidade efetivamente obtida.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2.4. Para o recebimento integral do valor contratado, a Contratada deverá cumprir com suas obrigações contratuais, em especial as dispostas nos indicadores de desempenho.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 xml:space="preserve">2.5. O IMR será </w:t>
      </w:r>
      <w:proofErr w:type="gramStart"/>
      <w:r w:rsidRPr="00054E1A">
        <w:rPr>
          <w:rFonts w:ascii="Arial" w:hAnsi="Arial" w:cs="Arial"/>
          <w:b/>
          <w:color w:val="000000" w:themeColor="text1"/>
        </w:rPr>
        <w:t>implementado</w:t>
      </w:r>
      <w:proofErr w:type="gramEnd"/>
      <w:r w:rsidRPr="00054E1A">
        <w:rPr>
          <w:rFonts w:ascii="Arial" w:hAnsi="Arial" w:cs="Arial"/>
          <w:b/>
          <w:color w:val="000000" w:themeColor="text1"/>
        </w:rPr>
        <w:t xml:space="preserve"> na data de assinatura do contrato, cabendo ao Fiscal Técnico do contrato avaliar mensalmente a execução dos serviços prestados.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bCs/>
          <w:color w:val="000000" w:themeColor="text1"/>
        </w:rPr>
        <w:lastRenderedPageBreak/>
        <w:t>3. DESCRIÇÃO DOS ITENS AVALIADOS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3.1. Para consecução destes objetivos, serão adotadas as seguintes regras de Medição de Resultado: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 xml:space="preserve">3.2.1. A avaliação corresponde à atribuição mensal dos conceitos "bom", "satisfatório", "regular" e "insatisfatório", equivalente aos valores 3, 2, 1 e 0 para cada item avaliado, e as respectivas justificativas, se necessário. Serão </w:t>
      </w:r>
      <w:proofErr w:type="gramStart"/>
      <w:r w:rsidRPr="00054E1A">
        <w:rPr>
          <w:rFonts w:ascii="Arial" w:hAnsi="Arial" w:cs="Arial"/>
          <w:b/>
          <w:color w:val="000000" w:themeColor="text1"/>
        </w:rPr>
        <w:t>3</w:t>
      </w:r>
      <w:proofErr w:type="gramEnd"/>
      <w:r w:rsidRPr="00054E1A">
        <w:rPr>
          <w:rFonts w:ascii="Arial" w:hAnsi="Arial" w:cs="Arial"/>
          <w:b/>
          <w:color w:val="000000" w:themeColor="text1"/>
        </w:rPr>
        <w:t xml:space="preserve"> (três) módulos distintos a serem avaliados, cada um com seu respectivo peso no cômputo geral, formando a pontuação final que será aplicada na faixa de tolerância.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5"/>
        <w:gridCol w:w="1984"/>
        <w:gridCol w:w="1755"/>
      </w:tblGrid>
      <w:tr w:rsidR="0022544D" w:rsidRPr="00054E1A" w:rsidTr="00054E1A">
        <w:trPr>
          <w:tblHeader/>
          <w:tblCellSpacing w:w="15" w:type="dxa"/>
        </w:trPr>
        <w:tc>
          <w:tcPr>
            <w:tcW w:w="483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MÓDULO</w:t>
            </w:r>
          </w:p>
        </w:tc>
        <w:tc>
          <w:tcPr>
            <w:tcW w:w="195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PESO DA AVALIAÇÃO</w:t>
            </w:r>
          </w:p>
        </w:tc>
        <w:tc>
          <w:tcPr>
            <w:tcW w:w="171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PONTUAÇÃO MÁXIMA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483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1 – PONTUALIDADE E DISPONIBILIDADE</w:t>
            </w:r>
          </w:p>
        </w:tc>
        <w:tc>
          <w:tcPr>
            <w:tcW w:w="195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10</w:t>
            </w:r>
          </w:p>
        </w:tc>
        <w:tc>
          <w:tcPr>
            <w:tcW w:w="171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30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483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2 – CONFORMIDADE</w:t>
            </w:r>
            <w:proofErr w:type="gramEnd"/>
            <w:r w:rsidRPr="00054E1A">
              <w:rPr>
                <w:rFonts w:ascii="Arial" w:hAnsi="Arial" w:cs="Arial"/>
                <w:b/>
                <w:color w:val="000000" w:themeColor="text1"/>
              </w:rPr>
              <w:t xml:space="preserve"> DOS VEÍCULOS</w:t>
            </w:r>
          </w:p>
        </w:tc>
        <w:tc>
          <w:tcPr>
            <w:tcW w:w="195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20</w:t>
            </w:r>
          </w:p>
        </w:tc>
        <w:tc>
          <w:tcPr>
            <w:tcW w:w="171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60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483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3 – QUALIDADE</w:t>
            </w:r>
            <w:proofErr w:type="gramEnd"/>
            <w:r w:rsidRPr="00054E1A">
              <w:rPr>
                <w:rFonts w:ascii="Arial" w:hAnsi="Arial" w:cs="Arial"/>
                <w:b/>
                <w:color w:val="000000" w:themeColor="text1"/>
              </w:rPr>
              <w:t xml:space="preserve"> DOS SERVIÇOS</w:t>
            </w:r>
          </w:p>
        </w:tc>
        <w:tc>
          <w:tcPr>
            <w:tcW w:w="195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30</w:t>
            </w:r>
          </w:p>
        </w:tc>
        <w:tc>
          <w:tcPr>
            <w:tcW w:w="171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90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483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RESULTADO MÁXIMO DA AVALIAÇÃO</w:t>
            </w:r>
          </w:p>
        </w:tc>
        <w:tc>
          <w:tcPr>
            <w:tcW w:w="195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71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180</w:t>
            </w:r>
          </w:p>
        </w:tc>
      </w:tr>
    </w:tbl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3.2.2. As adequações nos pagamentos estarão limitadas à seguinte faixa de tolerância: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90"/>
        <w:gridCol w:w="3544"/>
        <w:gridCol w:w="2180"/>
      </w:tblGrid>
      <w:tr w:rsidR="0022544D" w:rsidRPr="00054E1A" w:rsidTr="00054E1A">
        <w:trPr>
          <w:tblHeader/>
          <w:tblCellSpacing w:w="15" w:type="dxa"/>
        </w:trPr>
        <w:tc>
          <w:tcPr>
            <w:tcW w:w="284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CONCEITO</w:t>
            </w:r>
          </w:p>
        </w:tc>
        <w:tc>
          <w:tcPr>
            <w:tcW w:w="351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FAIXA DE PONTUAÇÃO OBTIDA</w:t>
            </w:r>
          </w:p>
        </w:tc>
        <w:tc>
          <w:tcPr>
            <w:tcW w:w="213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PERCENTUAL DE DESCONTO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BOM</w:t>
            </w:r>
          </w:p>
        </w:tc>
        <w:tc>
          <w:tcPr>
            <w:tcW w:w="351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151 a 180</w:t>
            </w:r>
          </w:p>
        </w:tc>
        <w:tc>
          <w:tcPr>
            <w:tcW w:w="213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0%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SATISFATÓRIO</w:t>
            </w:r>
          </w:p>
        </w:tc>
        <w:tc>
          <w:tcPr>
            <w:tcW w:w="351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121 a 150</w:t>
            </w:r>
          </w:p>
        </w:tc>
        <w:tc>
          <w:tcPr>
            <w:tcW w:w="213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2%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REGULAR</w:t>
            </w:r>
          </w:p>
        </w:tc>
        <w:tc>
          <w:tcPr>
            <w:tcW w:w="351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91 a 120</w:t>
            </w:r>
          </w:p>
        </w:tc>
        <w:tc>
          <w:tcPr>
            <w:tcW w:w="213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3%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INSATISFATÓRIO</w:t>
            </w:r>
          </w:p>
        </w:tc>
        <w:tc>
          <w:tcPr>
            <w:tcW w:w="351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61 a 90</w:t>
            </w:r>
          </w:p>
        </w:tc>
        <w:tc>
          <w:tcPr>
            <w:tcW w:w="213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4%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284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INSATISFATÓRIO</w:t>
            </w:r>
          </w:p>
        </w:tc>
        <w:tc>
          <w:tcPr>
            <w:tcW w:w="351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Até 60</w:t>
            </w:r>
          </w:p>
        </w:tc>
        <w:tc>
          <w:tcPr>
            <w:tcW w:w="2135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5%</w:t>
            </w:r>
          </w:p>
        </w:tc>
      </w:tr>
    </w:tbl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3.3. Os módulos para medição dos resultados estão descritos no quadro a seguir: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bCs/>
          <w:color w:val="000000" w:themeColor="text1"/>
        </w:rPr>
        <w:t>MÓDULO 1 – PONTUALIDADE E DISPONIBILIDADE</w:t>
      </w:r>
      <w:r w:rsidRPr="00054E1A">
        <w:rPr>
          <w:rFonts w:ascii="Arial" w:hAnsi="Arial" w:cs="Arial"/>
          <w:b/>
          <w:color w:val="000000" w:themeColor="text1"/>
        </w:rPr>
        <w:t xml:space="preserve"> </w:t>
      </w:r>
      <w:r w:rsidRPr="00054E1A">
        <w:rPr>
          <w:rFonts w:ascii="Arial" w:hAnsi="Arial" w:cs="Arial"/>
          <w:b/>
          <w:i/>
          <w:iCs/>
          <w:color w:val="000000" w:themeColor="text1"/>
        </w:rPr>
        <w:t>Aspectos avaliados:</w:t>
      </w:r>
    </w:p>
    <w:p w:rsidR="0022544D" w:rsidRPr="00054E1A" w:rsidRDefault="0022544D" w:rsidP="00054E1A">
      <w:pPr>
        <w:numPr>
          <w:ilvl w:val="0"/>
          <w:numId w:val="3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 xml:space="preserve">Cumprimento dos prazos de substituição estabelecidos (2h POA/RM, 3h até </w:t>
      </w:r>
      <w:proofErr w:type="gramStart"/>
      <w:r w:rsidRPr="00054E1A">
        <w:rPr>
          <w:rFonts w:ascii="Arial" w:hAnsi="Arial" w:cs="Arial"/>
          <w:b/>
          <w:color w:val="000000" w:themeColor="text1"/>
        </w:rPr>
        <w:t>200km</w:t>
      </w:r>
      <w:proofErr w:type="gramEnd"/>
      <w:r w:rsidRPr="00054E1A">
        <w:rPr>
          <w:rFonts w:ascii="Arial" w:hAnsi="Arial" w:cs="Arial"/>
          <w:b/>
          <w:color w:val="000000" w:themeColor="text1"/>
        </w:rPr>
        <w:t>, 6h até 400km, 10h até 600km)</w:t>
      </w:r>
    </w:p>
    <w:p w:rsidR="0022544D" w:rsidRPr="00054E1A" w:rsidRDefault="0022544D" w:rsidP="00054E1A">
      <w:pPr>
        <w:numPr>
          <w:ilvl w:val="0"/>
          <w:numId w:val="3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bCs/>
          <w:color w:val="000000" w:themeColor="text1"/>
        </w:rPr>
        <w:t>Disponibilidade operacional da frota (percentual de veículos em condições de uso no mês)</w:t>
      </w:r>
    </w:p>
    <w:p w:rsidR="0022544D" w:rsidRPr="00054E1A" w:rsidRDefault="0022544D" w:rsidP="00054E1A">
      <w:pPr>
        <w:numPr>
          <w:ilvl w:val="0"/>
          <w:numId w:val="3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 xml:space="preserve">Pontualidade na programação de manutenções preventivas </w:t>
      </w:r>
    </w:p>
    <w:tbl>
      <w:tblPr>
        <w:tblW w:w="907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5"/>
        <w:gridCol w:w="826"/>
        <w:gridCol w:w="1674"/>
        <w:gridCol w:w="851"/>
        <w:gridCol w:w="2499"/>
      </w:tblGrid>
      <w:tr w:rsidR="0022544D" w:rsidRPr="00054E1A" w:rsidTr="00054E1A">
        <w:trPr>
          <w:trHeight w:val="600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Descrição</w:t>
            </w:r>
          </w:p>
        </w:tc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Pontos</w:t>
            </w:r>
          </w:p>
        </w:tc>
        <w:tc>
          <w:tcPr>
            <w:tcW w:w="164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Pontos (0 a 3)</w:t>
            </w:r>
          </w:p>
        </w:tc>
        <w:tc>
          <w:tcPr>
            <w:tcW w:w="82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Peso</w:t>
            </w:r>
          </w:p>
        </w:tc>
        <w:tc>
          <w:tcPr>
            <w:tcW w:w="245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Pontuação total = (Pontos × Peso)</w:t>
            </w:r>
          </w:p>
        </w:tc>
      </w:tr>
      <w:tr w:rsidR="0022544D" w:rsidRPr="00054E1A" w:rsidTr="00054E1A">
        <w:trPr>
          <w:trHeight w:val="583"/>
          <w:tblCellSpacing w:w="15" w:type="dxa"/>
        </w:trPr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 xml:space="preserve">I – Todos os </w:t>
            </w: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3</w:t>
            </w:r>
            <w:proofErr w:type="gramEnd"/>
            <w:r w:rsidRPr="00054E1A">
              <w:rPr>
                <w:rFonts w:ascii="Arial" w:hAnsi="Arial" w:cs="Arial"/>
                <w:b/>
                <w:color w:val="000000" w:themeColor="text1"/>
              </w:rPr>
              <w:t xml:space="preserve"> aspectos adequados</w:t>
            </w:r>
          </w:p>
        </w:tc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3</w:t>
            </w:r>
            <w:proofErr w:type="gramEnd"/>
          </w:p>
        </w:tc>
        <w:tc>
          <w:tcPr>
            <w:tcW w:w="164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1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10</w:t>
            </w:r>
          </w:p>
        </w:tc>
        <w:tc>
          <w:tcPr>
            <w:tcW w:w="245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283"/>
          <w:tblCellSpacing w:w="15" w:type="dxa"/>
        </w:trPr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II – Um aspecto inadequado</w:t>
            </w:r>
          </w:p>
        </w:tc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164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1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5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283"/>
          <w:tblCellSpacing w:w="15" w:type="dxa"/>
        </w:trPr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III – Dois aspectos inadequados</w:t>
            </w:r>
          </w:p>
        </w:tc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1</w:t>
            </w:r>
            <w:proofErr w:type="gramEnd"/>
          </w:p>
        </w:tc>
        <w:tc>
          <w:tcPr>
            <w:tcW w:w="164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1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5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IV – Três aspectos inadequados</w:t>
            </w:r>
          </w:p>
        </w:tc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0</w:t>
            </w:r>
            <w:proofErr w:type="gramEnd"/>
          </w:p>
        </w:tc>
        <w:tc>
          <w:tcPr>
            <w:tcW w:w="164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1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5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 xml:space="preserve">Subtotal Módulo </w:t>
            </w:r>
            <w:proofErr w:type="gramStart"/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64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454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606611" w:rsidRPr="00F46E7E" w:rsidRDefault="00606611" w:rsidP="00054E1A">
      <w:pPr>
        <w:jc w:val="both"/>
        <w:rPr>
          <w:rFonts w:ascii="Arial" w:hAnsi="Arial" w:cs="Arial"/>
          <w:b/>
          <w:bCs/>
        </w:rPr>
      </w:pPr>
      <w:r w:rsidRPr="00F46E7E">
        <w:rPr>
          <w:rFonts w:ascii="Arial" w:hAnsi="Arial" w:cs="Arial"/>
          <w:b/>
          <w:bCs/>
        </w:rPr>
        <w:t>Obs.: Para atrasos na substituição de veículos em relação aos prazos estabelecidos no item 4.3.c do Termo de Referência:</w:t>
      </w:r>
    </w:p>
    <w:p w:rsidR="00606611" w:rsidRPr="00F46E7E" w:rsidRDefault="00606611" w:rsidP="00054E1A">
      <w:pPr>
        <w:pStyle w:val="PargrafodaLista"/>
        <w:numPr>
          <w:ilvl w:val="0"/>
          <w:numId w:val="10"/>
        </w:numPr>
        <w:jc w:val="both"/>
        <w:rPr>
          <w:rFonts w:ascii="Arial" w:hAnsi="Arial" w:cs="Arial"/>
          <w:b/>
          <w:bCs/>
        </w:rPr>
      </w:pPr>
      <w:r w:rsidRPr="00F46E7E">
        <w:rPr>
          <w:rFonts w:ascii="Arial" w:hAnsi="Arial" w:cs="Arial"/>
          <w:b/>
          <w:bCs/>
        </w:rPr>
        <w:t xml:space="preserve">Atraso de até 60 (sessenta) minutos além do prazo máximo: aplicação do desconto previsto neste IMR, conforme pontuação do Módulo </w:t>
      </w:r>
      <w:proofErr w:type="gramStart"/>
      <w:r w:rsidRPr="00F46E7E">
        <w:rPr>
          <w:rFonts w:ascii="Arial" w:hAnsi="Arial" w:cs="Arial"/>
          <w:b/>
          <w:bCs/>
        </w:rPr>
        <w:t>1</w:t>
      </w:r>
      <w:proofErr w:type="gramEnd"/>
      <w:r w:rsidRPr="00F46E7E">
        <w:rPr>
          <w:rFonts w:ascii="Arial" w:hAnsi="Arial" w:cs="Arial"/>
          <w:b/>
          <w:bCs/>
        </w:rPr>
        <w:t>;</w:t>
      </w:r>
    </w:p>
    <w:p w:rsidR="00606611" w:rsidRPr="00F46E7E" w:rsidRDefault="00606611" w:rsidP="00054E1A">
      <w:pPr>
        <w:pStyle w:val="PargrafodaLista"/>
        <w:numPr>
          <w:ilvl w:val="0"/>
          <w:numId w:val="10"/>
        </w:numPr>
        <w:jc w:val="both"/>
        <w:rPr>
          <w:rFonts w:ascii="Arial" w:hAnsi="Arial" w:cs="Arial"/>
          <w:b/>
          <w:bCs/>
        </w:rPr>
      </w:pPr>
      <w:r w:rsidRPr="00F46E7E">
        <w:rPr>
          <w:rFonts w:ascii="Arial" w:hAnsi="Arial" w:cs="Arial"/>
          <w:b/>
          <w:bCs/>
        </w:rPr>
        <w:t xml:space="preserve">Atraso superior a </w:t>
      </w:r>
      <w:proofErr w:type="gramStart"/>
      <w:r w:rsidRPr="00F46E7E">
        <w:rPr>
          <w:rFonts w:ascii="Arial" w:hAnsi="Arial" w:cs="Arial"/>
          <w:b/>
          <w:bCs/>
        </w:rPr>
        <w:t>60 (sessenta) minutos além do prazo máximo</w:t>
      </w:r>
      <w:r w:rsidR="00251723" w:rsidRPr="00F46E7E">
        <w:rPr>
          <w:rFonts w:ascii="Arial" w:hAnsi="Arial" w:cs="Arial"/>
          <w:b/>
          <w:bCs/>
        </w:rPr>
        <w:t>, aplicação</w:t>
      </w:r>
      <w:proofErr w:type="gramEnd"/>
      <w:r w:rsidR="00251723" w:rsidRPr="00F46E7E">
        <w:rPr>
          <w:rFonts w:ascii="Arial" w:hAnsi="Arial" w:cs="Arial"/>
          <w:b/>
          <w:bCs/>
        </w:rPr>
        <w:t xml:space="preserve"> cumulativa</w:t>
      </w:r>
      <w:r w:rsidRPr="00F46E7E">
        <w:rPr>
          <w:rFonts w:ascii="Arial" w:hAnsi="Arial" w:cs="Arial"/>
          <w:b/>
          <w:bCs/>
        </w:rPr>
        <w:t xml:space="preserve">: </w:t>
      </w:r>
    </w:p>
    <w:p w:rsidR="00606611" w:rsidRPr="00F46E7E" w:rsidRDefault="00606611" w:rsidP="00054E1A">
      <w:pPr>
        <w:pStyle w:val="PargrafodaLista"/>
        <w:jc w:val="both"/>
        <w:rPr>
          <w:rFonts w:ascii="Arial" w:hAnsi="Arial" w:cs="Arial"/>
          <w:b/>
          <w:bCs/>
        </w:rPr>
      </w:pPr>
      <w:r w:rsidRPr="00F46E7E">
        <w:rPr>
          <w:rFonts w:ascii="Arial" w:hAnsi="Arial" w:cs="Arial"/>
          <w:b/>
          <w:bCs/>
        </w:rPr>
        <w:t xml:space="preserve"> - Desconto do IMR conforme pontuação obtida; E - Multa contratual prevista no item 7.6.1.a do Termo de </w:t>
      </w:r>
      <w:proofErr w:type="gramStart"/>
      <w:r w:rsidRPr="00F46E7E">
        <w:rPr>
          <w:rFonts w:ascii="Arial" w:hAnsi="Arial" w:cs="Arial"/>
          <w:b/>
          <w:bCs/>
        </w:rPr>
        <w:t>Referência</w:t>
      </w:r>
      <w:proofErr w:type="gramEnd"/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bCs/>
          <w:color w:val="000000" w:themeColor="text1"/>
        </w:rPr>
        <w:t>MÓDULO 2 – CONFORMIDADE DOS VEÍCULOS</w:t>
      </w:r>
      <w:r w:rsidRPr="00054E1A">
        <w:rPr>
          <w:rFonts w:ascii="Arial" w:hAnsi="Arial" w:cs="Arial"/>
          <w:b/>
          <w:color w:val="000000" w:themeColor="text1"/>
        </w:rPr>
        <w:t xml:space="preserve"> </w:t>
      </w:r>
      <w:r w:rsidRPr="00054E1A">
        <w:rPr>
          <w:rFonts w:ascii="Arial" w:hAnsi="Arial" w:cs="Arial"/>
          <w:b/>
          <w:i/>
          <w:iCs/>
          <w:color w:val="000000" w:themeColor="text1"/>
        </w:rPr>
        <w:t>Aspectos avaliados:</w:t>
      </w:r>
    </w:p>
    <w:p w:rsidR="0022544D" w:rsidRPr="00054E1A" w:rsidRDefault="0022544D" w:rsidP="00054E1A">
      <w:pPr>
        <w:numPr>
          <w:ilvl w:val="0"/>
          <w:numId w:val="4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Veículos dentro dos limites (30 meses/50.000km, híbrido plug-in, potência mínima 300cv, classificação A ou B PBE/Inmetro</w:t>
      </w:r>
      <w:proofErr w:type="gramStart"/>
      <w:r w:rsidRPr="00054E1A">
        <w:rPr>
          <w:rFonts w:ascii="Arial" w:hAnsi="Arial" w:cs="Arial"/>
          <w:b/>
          <w:color w:val="000000" w:themeColor="text1"/>
        </w:rPr>
        <w:t>)</w:t>
      </w:r>
      <w:proofErr w:type="gramEnd"/>
    </w:p>
    <w:p w:rsidR="0022544D" w:rsidRPr="00054E1A" w:rsidRDefault="0022544D" w:rsidP="00054E1A">
      <w:pPr>
        <w:numPr>
          <w:ilvl w:val="0"/>
          <w:numId w:val="4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Documentação completa e regular (licenciamento, seguro</w:t>
      </w:r>
      <w:proofErr w:type="gramStart"/>
      <w:r w:rsidRPr="00054E1A">
        <w:rPr>
          <w:rFonts w:ascii="Arial" w:hAnsi="Arial" w:cs="Arial"/>
          <w:b/>
          <w:color w:val="000000" w:themeColor="text1"/>
        </w:rPr>
        <w:t>)</w:t>
      </w:r>
      <w:proofErr w:type="gramEnd"/>
    </w:p>
    <w:p w:rsidR="0022544D" w:rsidRPr="00054E1A" w:rsidRDefault="0022544D" w:rsidP="00054E1A">
      <w:pPr>
        <w:numPr>
          <w:ilvl w:val="0"/>
          <w:numId w:val="4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 xml:space="preserve">Estado de conservação, limpeza e itens obrigatórios </w:t>
      </w:r>
      <w:proofErr w:type="gramStart"/>
      <w:r w:rsidRPr="00054E1A">
        <w:rPr>
          <w:rFonts w:ascii="Arial" w:hAnsi="Arial" w:cs="Arial"/>
          <w:b/>
          <w:color w:val="000000" w:themeColor="text1"/>
        </w:rPr>
        <w:t>presentes</w:t>
      </w:r>
      <w:proofErr w:type="gramEnd"/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tbl>
      <w:tblPr>
        <w:tblW w:w="9791" w:type="dxa"/>
        <w:tblCellSpacing w:w="15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15"/>
        <w:gridCol w:w="993"/>
        <w:gridCol w:w="1701"/>
        <w:gridCol w:w="850"/>
        <w:gridCol w:w="2132"/>
      </w:tblGrid>
      <w:tr w:rsidR="0022544D" w:rsidRPr="00054E1A" w:rsidTr="00054E1A">
        <w:trPr>
          <w:trHeight w:val="647"/>
          <w:tblHeader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Descrição</w:t>
            </w:r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Pontos</w:t>
            </w:r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Pontos (0 a 3)</w:t>
            </w: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Peso</w:t>
            </w: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Pontuação total = (Pontos × Peso)</w:t>
            </w:r>
          </w:p>
        </w:tc>
      </w:tr>
      <w:tr w:rsidR="0022544D" w:rsidRPr="00054E1A" w:rsidTr="00054E1A">
        <w:trPr>
          <w:trHeight w:val="629"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 xml:space="preserve">I – Todos os </w:t>
            </w: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3</w:t>
            </w:r>
            <w:proofErr w:type="gramEnd"/>
            <w:r w:rsidRPr="00054E1A">
              <w:rPr>
                <w:rFonts w:ascii="Arial" w:hAnsi="Arial" w:cs="Arial"/>
                <w:b/>
                <w:color w:val="000000" w:themeColor="text1"/>
              </w:rPr>
              <w:t xml:space="preserve"> aspectos adequados</w:t>
            </w:r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3</w:t>
            </w:r>
            <w:proofErr w:type="gramEnd"/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20</w:t>
            </w: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305"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II – Um aspecto inadequado</w:t>
            </w:r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305"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III – Dois aspectos inadequados</w:t>
            </w:r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1</w:t>
            </w:r>
            <w:proofErr w:type="gramEnd"/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323"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IV – Três aspectos inadequados</w:t>
            </w:r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0</w:t>
            </w:r>
            <w:proofErr w:type="gramEnd"/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323"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 xml:space="preserve">Subtotal Módulo </w:t>
            </w:r>
            <w:proofErr w:type="gramStart"/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  <w:proofErr w:type="gramEnd"/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bCs/>
          <w:color w:val="000000" w:themeColor="text1"/>
        </w:rPr>
        <w:lastRenderedPageBreak/>
        <w:t>MÓDULO 3 – QUALIDADE DOS SERVIÇOS</w:t>
      </w:r>
      <w:r w:rsidRPr="00054E1A">
        <w:rPr>
          <w:rFonts w:ascii="Arial" w:hAnsi="Arial" w:cs="Arial"/>
          <w:b/>
          <w:color w:val="000000" w:themeColor="text1"/>
        </w:rPr>
        <w:t xml:space="preserve"> </w:t>
      </w:r>
      <w:r w:rsidRPr="00054E1A">
        <w:rPr>
          <w:rFonts w:ascii="Arial" w:hAnsi="Arial" w:cs="Arial"/>
          <w:b/>
          <w:i/>
          <w:iCs/>
          <w:color w:val="000000" w:themeColor="text1"/>
        </w:rPr>
        <w:t>Aspectos avaliados:</w:t>
      </w:r>
    </w:p>
    <w:p w:rsidR="0022544D" w:rsidRPr="00054E1A" w:rsidRDefault="0022544D" w:rsidP="00054E1A">
      <w:pPr>
        <w:numPr>
          <w:ilvl w:val="0"/>
          <w:numId w:val="5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Funcionamento adequado da central 24h e tempo de resposta</w:t>
      </w:r>
    </w:p>
    <w:p w:rsidR="0022544D" w:rsidRPr="00054E1A" w:rsidRDefault="0022544D" w:rsidP="00054E1A">
      <w:pPr>
        <w:numPr>
          <w:ilvl w:val="0"/>
          <w:numId w:val="5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Entrega tempestiva de relatórios e documentos exigidos</w:t>
      </w:r>
    </w:p>
    <w:p w:rsidR="0022544D" w:rsidRPr="00054E1A" w:rsidRDefault="0022544D" w:rsidP="00054E1A">
      <w:pPr>
        <w:numPr>
          <w:ilvl w:val="0"/>
          <w:numId w:val="5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Qualidade da manutenção (</w:t>
      </w:r>
      <w:proofErr w:type="gramStart"/>
      <w:r w:rsidRPr="00054E1A">
        <w:rPr>
          <w:rFonts w:ascii="Arial" w:hAnsi="Arial" w:cs="Arial"/>
          <w:b/>
          <w:color w:val="000000" w:themeColor="text1"/>
        </w:rPr>
        <w:t>preventiva/corretiva</w:t>
      </w:r>
      <w:proofErr w:type="gramEnd"/>
      <w:r w:rsidRPr="00054E1A">
        <w:rPr>
          <w:rFonts w:ascii="Arial" w:hAnsi="Arial" w:cs="Arial"/>
          <w:b/>
          <w:color w:val="000000" w:themeColor="text1"/>
        </w:rPr>
        <w:t>) e gestão de sinistros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tbl>
      <w:tblPr>
        <w:tblW w:w="9791" w:type="dxa"/>
        <w:tblCellSpacing w:w="15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15"/>
        <w:gridCol w:w="993"/>
        <w:gridCol w:w="1701"/>
        <w:gridCol w:w="850"/>
        <w:gridCol w:w="2132"/>
      </w:tblGrid>
      <w:tr w:rsidR="0022544D" w:rsidRPr="00054E1A" w:rsidTr="00054E1A">
        <w:trPr>
          <w:trHeight w:val="647"/>
          <w:tblHeader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Descrição</w:t>
            </w:r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Pontos</w:t>
            </w:r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Pontos (0 a 3)</w:t>
            </w: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Peso</w:t>
            </w: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Pontuação total = (Pontos × Peso)</w:t>
            </w:r>
          </w:p>
        </w:tc>
      </w:tr>
      <w:tr w:rsidR="0022544D" w:rsidRPr="00054E1A" w:rsidTr="00054E1A">
        <w:trPr>
          <w:trHeight w:val="629"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 xml:space="preserve">I – Todos os </w:t>
            </w: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3</w:t>
            </w:r>
            <w:proofErr w:type="gramEnd"/>
            <w:r w:rsidRPr="00054E1A">
              <w:rPr>
                <w:rFonts w:ascii="Arial" w:hAnsi="Arial" w:cs="Arial"/>
                <w:b/>
                <w:color w:val="000000" w:themeColor="text1"/>
              </w:rPr>
              <w:t xml:space="preserve"> aspectos adequados</w:t>
            </w:r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3</w:t>
            </w:r>
            <w:proofErr w:type="gramEnd"/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30</w:t>
            </w: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305"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II – Um aspecto inadequado</w:t>
            </w:r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305"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III – Dois aspectos inadequados</w:t>
            </w:r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1</w:t>
            </w:r>
            <w:proofErr w:type="gramEnd"/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323"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IV – Três aspectos inadequados</w:t>
            </w:r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gramStart"/>
            <w:r w:rsidRPr="00054E1A">
              <w:rPr>
                <w:rFonts w:ascii="Arial" w:hAnsi="Arial" w:cs="Arial"/>
                <w:b/>
                <w:color w:val="000000" w:themeColor="text1"/>
              </w:rPr>
              <w:t>0</w:t>
            </w:r>
            <w:proofErr w:type="gramEnd"/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2544D" w:rsidRPr="00054E1A" w:rsidTr="00054E1A">
        <w:trPr>
          <w:trHeight w:val="323"/>
          <w:tblCellSpacing w:w="15" w:type="dxa"/>
        </w:trPr>
        <w:tc>
          <w:tcPr>
            <w:tcW w:w="407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 xml:space="preserve">Subtotal Módulo </w:t>
            </w:r>
            <w:proofErr w:type="gramStart"/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proofErr w:type="gramEnd"/>
          </w:p>
        </w:tc>
        <w:tc>
          <w:tcPr>
            <w:tcW w:w="963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6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82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087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7D1C6D" w:rsidRPr="00F46E7E" w:rsidRDefault="007D1C6D" w:rsidP="00054E1A">
      <w:pPr>
        <w:spacing w:line="256" w:lineRule="auto"/>
        <w:jc w:val="both"/>
        <w:rPr>
          <w:rFonts w:ascii="Arial" w:eastAsia="Aptos" w:hAnsi="Arial" w:cs="Arial"/>
          <w:b/>
          <w:color w:val="000000" w:themeColor="text1"/>
          <w:kern w:val="2"/>
        </w:rPr>
      </w:pPr>
      <w:r w:rsidRPr="00F46E7E">
        <w:rPr>
          <w:rFonts w:ascii="Arial" w:eastAsia="Aptos" w:hAnsi="Arial" w:cs="Arial"/>
          <w:b/>
          <w:color w:val="000000" w:themeColor="text1"/>
          <w:kern w:val="2"/>
        </w:rPr>
        <w:t>3.4. Critérios de pontuação por módulo</w:t>
      </w:r>
    </w:p>
    <w:p w:rsidR="00606611" w:rsidRPr="00F46E7E" w:rsidRDefault="007D1C6D" w:rsidP="00054E1A">
      <w:pPr>
        <w:spacing w:line="256" w:lineRule="auto"/>
        <w:jc w:val="both"/>
        <w:rPr>
          <w:rFonts w:ascii="Arial" w:eastAsia="Aptos" w:hAnsi="Arial" w:cs="Arial"/>
          <w:b/>
          <w:color w:val="000000" w:themeColor="text1"/>
          <w:kern w:val="2"/>
        </w:rPr>
      </w:pPr>
      <w:r w:rsidRPr="00F46E7E">
        <w:rPr>
          <w:rFonts w:ascii="Arial" w:eastAsia="Aptos" w:hAnsi="Arial" w:cs="Arial"/>
          <w:b/>
          <w:color w:val="000000" w:themeColor="text1"/>
          <w:kern w:val="2"/>
        </w:rPr>
        <w:t xml:space="preserve">A pontuação em cada módulo considera exclusivamente quantos dos três aspectos foram descumpridos, independentemente da quantidade de ocorrências registradas em cada aspecto. </w:t>
      </w:r>
    </w:p>
    <w:p w:rsidR="007D1C6D" w:rsidRPr="00054E1A" w:rsidRDefault="007D1C6D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bCs/>
          <w:color w:val="000000" w:themeColor="text1"/>
        </w:rPr>
        <w:t>4. CRITÉRIOS PARA ANÁLISE DOS ITENS AVALIADOS E CONTAGEM DE PONTOS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 xml:space="preserve">4.1. Conforme a pontuação obtida </w:t>
      </w:r>
      <w:proofErr w:type="gramStart"/>
      <w:r w:rsidRPr="00054E1A">
        <w:rPr>
          <w:rFonts w:ascii="Arial" w:hAnsi="Arial" w:cs="Arial"/>
          <w:b/>
          <w:color w:val="000000" w:themeColor="text1"/>
        </w:rPr>
        <w:t>serão gerados</w:t>
      </w:r>
      <w:proofErr w:type="gramEnd"/>
      <w:r w:rsidRPr="00054E1A">
        <w:rPr>
          <w:rFonts w:ascii="Arial" w:hAnsi="Arial" w:cs="Arial"/>
          <w:b/>
          <w:color w:val="000000" w:themeColor="text1"/>
        </w:rPr>
        <w:t xml:space="preserve"> os seguintes percentuais de desconto: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16"/>
        <w:gridCol w:w="3543"/>
        <w:gridCol w:w="1755"/>
      </w:tblGrid>
      <w:tr w:rsidR="0022544D" w:rsidRPr="00054E1A" w:rsidTr="00054E1A">
        <w:trPr>
          <w:tblHeader/>
          <w:tblCellSpacing w:w="15" w:type="dxa"/>
        </w:trPr>
        <w:tc>
          <w:tcPr>
            <w:tcW w:w="32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CONCEITO</w:t>
            </w:r>
          </w:p>
        </w:tc>
        <w:tc>
          <w:tcPr>
            <w:tcW w:w="3513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FAIXA DE PONTUAÇÃO OBTIDA</w:t>
            </w:r>
          </w:p>
        </w:tc>
        <w:tc>
          <w:tcPr>
            <w:tcW w:w="171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bCs/>
                <w:color w:val="000000" w:themeColor="text1"/>
              </w:rPr>
              <w:t>PERCENTUAL DE DESCONTO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BOM</w:t>
            </w:r>
          </w:p>
        </w:tc>
        <w:tc>
          <w:tcPr>
            <w:tcW w:w="3513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151 a 180</w:t>
            </w:r>
          </w:p>
        </w:tc>
        <w:tc>
          <w:tcPr>
            <w:tcW w:w="171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0%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SATISFATÓRIO</w:t>
            </w:r>
          </w:p>
        </w:tc>
        <w:tc>
          <w:tcPr>
            <w:tcW w:w="3513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121 a 150</w:t>
            </w:r>
          </w:p>
        </w:tc>
        <w:tc>
          <w:tcPr>
            <w:tcW w:w="171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2%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REGULAR</w:t>
            </w:r>
          </w:p>
        </w:tc>
        <w:tc>
          <w:tcPr>
            <w:tcW w:w="3513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91 a 120</w:t>
            </w:r>
          </w:p>
        </w:tc>
        <w:tc>
          <w:tcPr>
            <w:tcW w:w="171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3%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INSATISFATÓRIO</w:t>
            </w:r>
          </w:p>
        </w:tc>
        <w:tc>
          <w:tcPr>
            <w:tcW w:w="3513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61 a 90</w:t>
            </w:r>
          </w:p>
        </w:tc>
        <w:tc>
          <w:tcPr>
            <w:tcW w:w="171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4%</w:t>
            </w:r>
          </w:p>
        </w:tc>
      </w:tr>
      <w:tr w:rsidR="0022544D" w:rsidRPr="00054E1A" w:rsidTr="00054E1A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INSATISFATÓRIO</w:t>
            </w:r>
          </w:p>
        </w:tc>
        <w:tc>
          <w:tcPr>
            <w:tcW w:w="3513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Até 60</w:t>
            </w:r>
          </w:p>
        </w:tc>
        <w:tc>
          <w:tcPr>
            <w:tcW w:w="1710" w:type="dxa"/>
            <w:vAlign w:val="center"/>
            <w:hideMark/>
          </w:tcPr>
          <w:p w:rsidR="0022544D" w:rsidRPr="00054E1A" w:rsidRDefault="0022544D" w:rsidP="00054E1A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54E1A">
              <w:rPr>
                <w:rFonts w:ascii="Arial" w:hAnsi="Arial" w:cs="Arial"/>
                <w:b/>
                <w:color w:val="000000" w:themeColor="text1"/>
              </w:rPr>
              <w:t>5%</w:t>
            </w:r>
          </w:p>
        </w:tc>
      </w:tr>
    </w:tbl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4.2. Os serviços serão considerados insatisfatórios abaixo de 90 pontos.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lastRenderedPageBreak/>
        <w:t>4.3. O primeiro mês de contrato será objeto apenas de notificação, de modo a permitir o ajuste e aperfeiçoamento da qualidade do serviço pela contratada.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4.4. Os registros das ocorrências serão individuais para cada veículo.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 xml:space="preserve">4.5. </w:t>
      </w:r>
      <w:r w:rsidRPr="00054E1A">
        <w:rPr>
          <w:rFonts w:ascii="Arial" w:hAnsi="Arial" w:cs="Arial"/>
          <w:b/>
          <w:bCs/>
          <w:color w:val="000000" w:themeColor="text1"/>
        </w:rPr>
        <w:t>FORMA DE CONTAGEM DOS PONTOS: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4.5.1. Em cada módulo será atribuída pontuação de 0 a 3 conforme a quantidade de aspectos adequados.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4.5.2. A pontuação obtida em cada módulo será multiplicada pelo respectivo peso:</w:t>
      </w:r>
    </w:p>
    <w:p w:rsidR="0022544D" w:rsidRPr="00054E1A" w:rsidRDefault="0022544D" w:rsidP="00054E1A">
      <w:pPr>
        <w:numPr>
          <w:ilvl w:val="0"/>
          <w:numId w:val="6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 xml:space="preserve">Módulo </w:t>
      </w:r>
      <w:proofErr w:type="gramStart"/>
      <w:r w:rsidRPr="00054E1A">
        <w:rPr>
          <w:rFonts w:ascii="Arial" w:hAnsi="Arial" w:cs="Arial"/>
          <w:b/>
          <w:color w:val="000000" w:themeColor="text1"/>
        </w:rPr>
        <w:t>1</w:t>
      </w:r>
      <w:proofErr w:type="gramEnd"/>
      <w:r w:rsidRPr="00054E1A">
        <w:rPr>
          <w:rFonts w:ascii="Arial" w:hAnsi="Arial" w:cs="Arial"/>
          <w:b/>
          <w:color w:val="000000" w:themeColor="text1"/>
        </w:rPr>
        <w:t>: Pontos (0 a 3) × 10 = Máximo 30 pontos</w:t>
      </w:r>
    </w:p>
    <w:p w:rsidR="0022544D" w:rsidRPr="00054E1A" w:rsidRDefault="0022544D" w:rsidP="00054E1A">
      <w:pPr>
        <w:numPr>
          <w:ilvl w:val="0"/>
          <w:numId w:val="6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 xml:space="preserve">Módulo </w:t>
      </w:r>
      <w:proofErr w:type="gramStart"/>
      <w:r w:rsidRPr="00054E1A">
        <w:rPr>
          <w:rFonts w:ascii="Arial" w:hAnsi="Arial" w:cs="Arial"/>
          <w:b/>
          <w:color w:val="000000" w:themeColor="text1"/>
        </w:rPr>
        <w:t>2</w:t>
      </w:r>
      <w:proofErr w:type="gramEnd"/>
      <w:r w:rsidRPr="00054E1A">
        <w:rPr>
          <w:rFonts w:ascii="Arial" w:hAnsi="Arial" w:cs="Arial"/>
          <w:b/>
          <w:color w:val="000000" w:themeColor="text1"/>
        </w:rPr>
        <w:t>: Pontos (0 a 3) × 20 = Máximo 60 pontos</w:t>
      </w:r>
    </w:p>
    <w:p w:rsidR="0022544D" w:rsidRPr="00054E1A" w:rsidRDefault="0022544D" w:rsidP="00054E1A">
      <w:pPr>
        <w:numPr>
          <w:ilvl w:val="0"/>
          <w:numId w:val="6"/>
        </w:num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 xml:space="preserve">Módulo </w:t>
      </w:r>
      <w:proofErr w:type="gramStart"/>
      <w:r w:rsidRPr="00054E1A">
        <w:rPr>
          <w:rFonts w:ascii="Arial" w:hAnsi="Arial" w:cs="Arial"/>
          <w:b/>
          <w:color w:val="000000" w:themeColor="text1"/>
        </w:rPr>
        <w:t>3</w:t>
      </w:r>
      <w:proofErr w:type="gramEnd"/>
      <w:r w:rsidRPr="00054E1A">
        <w:rPr>
          <w:rFonts w:ascii="Arial" w:hAnsi="Arial" w:cs="Arial"/>
          <w:b/>
          <w:color w:val="000000" w:themeColor="text1"/>
        </w:rPr>
        <w:t>: Pontos (0 a 3) × 30 = Máximo 90 pontos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4.5.3. O somatório dos três módulos constituirá a pontuação final mensal (</w:t>
      </w:r>
      <w:proofErr w:type="gramStart"/>
      <w:r w:rsidRPr="00054E1A">
        <w:rPr>
          <w:rFonts w:ascii="Arial" w:hAnsi="Arial" w:cs="Arial"/>
          <w:b/>
          <w:color w:val="000000" w:themeColor="text1"/>
        </w:rPr>
        <w:t>máximo 180</w:t>
      </w:r>
      <w:proofErr w:type="gramEnd"/>
      <w:r w:rsidRPr="00054E1A">
        <w:rPr>
          <w:rFonts w:ascii="Arial" w:hAnsi="Arial" w:cs="Arial"/>
          <w:b/>
          <w:color w:val="000000" w:themeColor="text1"/>
        </w:rPr>
        <w:t xml:space="preserve"> pontos).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4.5.4. Nos meses que a contratada não obtiver o conceito "Bom", poderá apresentar justificativa para a prestação dos serviços com pontuação igual ou inferior a 150. No caso de aceite da justificativa pela Contratante, mediante a comprovação da excepcionalidade da ocorrência, resultante exclusivamente de fatores imprevisíveis e alheios ao controle da Contratada, não será aplicado o desconto na fatura. Tudo documentado e juntado aos autos.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4.5.5. Haverá possibilidade de rescisão contratual nas seguintes condições: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4.5.5.1. Desconto de 5% (cinco por cento) por mais de seis vezes durante a vigência inicial do contrato ou nos últimos 12 meses, se houver prorrogação;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4.5.5.2. Pontuação abaixo de 30 (trinta) pontos;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4.5.5.3. Desconto de 5% (cinco por cento) por seis meses consecutivos.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i/>
          <w:iCs/>
          <w:color w:val="000000" w:themeColor="text1"/>
        </w:rPr>
        <w:t>Observação: Para o cômputo acima não será considerado o mês referido no item 4.3.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  <w:r w:rsidRPr="00054E1A">
        <w:rPr>
          <w:rFonts w:ascii="Arial" w:hAnsi="Arial" w:cs="Arial"/>
          <w:b/>
          <w:color w:val="000000" w:themeColor="text1"/>
        </w:rPr>
        <w:t>4.6. As sanções previstas no Edital, inclusive as de multa, poderão ser aplicadas concomitantemente com o desconto na fatura.</w:t>
      </w:r>
    </w:p>
    <w:p w:rsidR="0022544D" w:rsidRPr="00054E1A" w:rsidRDefault="004F0FE5" w:rsidP="00054E1A">
      <w:pPr>
        <w:jc w:val="both"/>
        <w:rPr>
          <w:rFonts w:ascii="Arial" w:hAnsi="Arial" w:cs="Arial"/>
          <w:b/>
          <w:bCs/>
          <w:color w:val="000000" w:themeColor="text1"/>
        </w:rPr>
      </w:pPr>
      <w:r w:rsidRPr="00054E1A">
        <w:rPr>
          <w:rFonts w:ascii="Arial" w:hAnsi="Arial" w:cs="Arial"/>
          <w:b/>
          <w:bCs/>
          <w:color w:val="000000" w:themeColor="text1"/>
        </w:rPr>
        <w:t>5.</w:t>
      </w:r>
      <w:r w:rsidR="0022544D" w:rsidRPr="00054E1A">
        <w:rPr>
          <w:rFonts w:ascii="Arial" w:hAnsi="Arial" w:cs="Arial"/>
          <w:b/>
          <w:bCs/>
          <w:color w:val="000000" w:themeColor="text1"/>
        </w:rPr>
        <w:t xml:space="preserve"> EXEMPLO HIPOTÉTICO DE CÁLCULO</w:t>
      </w:r>
    </w:p>
    <w:p w:rsidR="004F0FE5" w:rsidRPr="00F46E7E" w:rsidRDefault="004F0FE5" w:rsidP="00054E1A">
      <w:p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>Exemplo - Desempenho SATISFATÓRIO (2% desconto)</w:t>
      </w:r>
    </w:p>
    <w:p w:rsidR="004F0FE5" w:rsidRPr="00F46E7E" w:rsidRDefault="004F0FE5" w:rsidP="00054E1A">
      <w:p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>Situação em determinado mês:</w:t>
      </w:r>
    </w:p>
    <w:p w:rsidR="004F0FE5" w:rsidRPr="00F46E7E" w:rsidRDefault="004F0FE5" w:rsidP="00054E1A">
      <w:p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>Módulo 1 - Pontualidade e Disponibilidade:</w:t>
      </w:r>
    </w:p>
    <w:p w:rsidR="004F0FE5" w:rsidRPr="00F46E7E" w:rsidRDefault="004F0FE5" w:rsidP="00054E1A">
      <w:pPr>
        <w:numPr>
          <w:ilvl w:val="0"/>
          <w:numId w:val="7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>Substituição em Caxias do Sul (</w:t>
      </w:r>
      <w:proofErr w:type="gramStart"/>
      <w:r w:rsidRPr="00F46E7E">
        <w:rPr>
          <w:rFonts w:ascii="Arial" w:hAnsi="Arial" w:cs="Arial"/>
          <w:b/>
          <w:color w:val="000000" w:themeColor="text1"/>
        </w:rPr>
        <w:t>125km</w:t>
      </w:r>
      <w:proofErr w:type="gramEnd"/>
      <w:r w:rsidRPr="00F46E7E">
        <w:rPr>
          <w:rFonts w:ascii="Arial" w:hAnsi="Arial" w:cs="Arial"/>
          <w:b/>
          <w:color w:val="000000" w:themeColor="text1"/>
        </w:rPr>
        <w:t xml:space="preserve"> de POA) demorou 4 horas (limite 3h) </w:t>
      </w:r>
      <w:r w:rsidRPr="00F46E7E">
        <w:rPr>
          <w:rFonts w:ascii="Arial" w:hAnsi="Segoe UI Symbol" w:cs="Arial"/>
          <w:b/>
          <w:color w:val="000000" w:themeColor="text1"/>
        </w:rPr>
        <w:t>✗</w:t>
      </w:r>
    </w:p>
    <w:p w:rsidR="004F0FE5" w:rsidRPr="00F46E7E" w:rsidRDefault="004F0FE5" w:rsidP="00054E1A">
      <w:pPr>
        <w:numPr>
          <w:ilvl w:val="0"/>
          <w:numId w:val="7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 xml:space="preserve">Disponibilidade operacional da frota mantida </w:t>
      </w:r>
      <w:r w:rsidR="00C5048D" w:rsidRPr="00F46E7E">
        <w:rPr>
          <w:rFonts w:ascii="Arial" w:hAnsi="Arial" w:cs="Arial"/>
          <w:b/>
          <w:color w:val="000000" w:themeColor="text1"/>
        </w:rPr>
        <w:t>plenamente satisfatória</w:t>
      </w:r>
      <w:r w:rsidRPr="00F46E7E">
        <w:rPr>
          <w:rFonts w:ascii="Arial" w:hAnsi="Arial" w:cs="Arial"/>
          <w:b/>
          <w:color w:val="000000" w:themeColor="text1"/>
        </w:rPr>
        <w:t xml:space="preserve"> no mês </w:t>
      </w:r>
      <w:r w:rsidRPr="00F46E7E">
        <w:rPr>
          <w:rFonts w:ascii="Arial" w:hAnsi="Segoe UI Symbol" w:cs="Arial"/>
          <w:b/>
          <w:color w:val="000000" w:themeColor="text1"/>
        </w:rPr>
        <w:t>✓</w:t>
      </w:r>
    </w:p>
    <w:p w:rsidR="004F0FE5" w:rsidRPr="00F46E7E" w:rsidRDefault="004F0FE5" w:rsidP="00054E1A">
      <w:pPr>
        <w:numPr>
          <w:ilvl w:val="0"/>
          <w:numId w:val="7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 xml:space="preserve">Manutenções preventivas comunicadas e realizadas conforme programado </w:t>
      </w:r>
      <w:r w:rsidRPr="00F46E7E">
        <w:rPr>
          <w:rFonts w:ascii="Arial" w:hAnsi="Segoe UI Symbol" w:cs="Arial"/>
          <w:b/>
          <w:color w:val="000000" w:themeColor="text1"/>
        </w:rPr>
        <w:t>✓</w:t>
      </w:r>
    </w:p>
    <w:p w:rsidR="004F0FE5" w:rsidRPr="00F46E7E" w:rsidRDefault="004F0FE5" w:rsidP="00054E1A">
      <w:pPr>
        <w:numPr>
          <w:ilvl w:val="0"/>
          <w:numId w:val="7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lastRenderedPageBreak/>
        <w:t xml:space="preserve">Pontuação: </w:t>
      </w:r>
      <w:proofErr w:type="gramStart"/>
      <w:r w:rsidRPr="00F46E7E">
        <w:rPr>
          <w:rFonts w:ascii="Arial" w:hAnsi="Arial" w:cs="Arial"/>
          <w:b/>
          <w:color w:val="000000" w:themeColor="text1"/>
        </w:rPr>
        <w:t>2</w:t>
      </w:r>
      <w:proofErr w:type="gramEnd"/>
      <w:r w:rsidRPr="00F46E7E">
        <w:rPr>
          <w:rFonts w:ascii="Arial" w:hAnsi="Arial" w:cs="Arial"/>
          <w:b/>
          <w:color w:val="000000" w:themeColor="text1"/>
        </w:rPr>
        <w:t xml:space="preserve"> (um aspecto inadequado) × 10 = 20 pontos</w:t>
      </w:r>
    </w:p>
    <w:p w:rsidR="004F0FE5" w:rsidRPr="00F46E7E" w:rsidRDefault="004F0FE5" w:rsidP="00054E1A">
      <w:p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>Módulo 2 - Conformidade dos Veículos:</w:t>
      </w:r>
    </w:p>
    <w:p w:rsidR="004F0FE5" w:rsidRPr="00F46E7E" w:rsidRDefault="004F0FE5" w:rsidP="00054E1A">
      <w:pPr>
        <w:numPr>
          <w:ilvl w:val="0"/>
          <w:numId w:val="8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 xml:space="preserve">Todos os veículos com menos de 30 meses e abaixo de 50.000km, híbrido plug-in, 300cv+, classificação A no PBE </w:t>
      </w:r>
      <w:proofErr w:type="gramStart"/>
      <w:r w:rsidRPr="00F46E7E">
        <w:rPr>
          <w:rFonts w:ascii="Arial" w:hAnsi="Segoe UI Symbol" w:cs="Arial"/>
          <w:b/>
          <w:color w:val="000000" w:themeColor="text1"/>
        </w:rPr>
        <w:t>✓</w:t>
      </w:r>
      <w:proofErr w:type="gramEnd"/>
    </w:p>
    <w:p w:rsidR="004F0FE5" w:rsidRPr="00F46E7E" w:rsidRDefault="004F0FE5" w:rsidP="00054E1A">
      <w:pPr>
        <w:numPr>
          <w:ilvl w:val="0"/>
          <w:numId w:val="8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 xml:space="preserve">Documentação completa (CRLV, seguro vigente) </w:t>
      </w:r>
      <w:proofErr w:type="gramStart"/>
      <w:r w:rsidRPr="00F46E7E">
        <w:rPr>
          <w:rFonts w:ascii="Arial" w:hAnsi="Segoe UI Symbol" w:cs="Arial"/>
          <w:b/>
          <w:color w:val="000000" w:themeColor="text1"/>
        </w:rPr>
        <w:t>✓</w:t>
      </w:r>
      <w:proofErr w:type="gramEnd"/>
    </w:p>
    <w:p w:rsidR="004F0FE5" w:rsidRPr="00F46E7E" w:rsidRDefault="004F0FE5" w:rsidP="00054E1A">
      <w:pPr>
        <w:numPr>
          <w:ilvl w:val="0"/>
          <w:numId w:val="8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>Veículos limpos,</w:t>
      </w:r>
      <w:proofErr w:type="gramStart"/>
      <w:r w:rsidRPr="00F46E7E">
        <w:rPr>
          <w:rFonts w:ascii="Arial" w:hAnsi="Arial" w:cs="Arial"/>
          <w:b/>
          <w:color w:val="000000" w:themeColor="text1"/>
        </w:rPr>
        <w:t xml:space="preserve">  </w:t>
      </w:r>
      <w:proofErr w:type="gramEnd"/>
      <w:r w:rsidRPr="00F46E7E">
        <w:rPr>
          <w:rFonts w:ascii="Arial" w:hAnsi="Arial" w:cs="Arial"/>
          <w:b/>
          <w:color w:val="000000" w:themeColor="text1"/>
        </w:rPr>
        <w:t xml:space="preserve">adesivos aplicados, kit sinalização nos 7 da Administração Superior </w:t>
      </w:r>
      <w:r w:rsidRPr="00F46E7E">
        <w:rPr>
          <w:rFonts w:ascii="Arial" w:hAnsi="Segoe UI Symbol" w:cs="Arial"/>
          <w:b/>
          <w:color w:val="000000" w:themeColor="text1"/>
        </w:rPr>
        <w:t>✓</w:t>
      </w:r>
    </w:p>
    <w:p w:rsidR="004F0FE5" w:rsidRPr="00F46E7E" w:rsidRDefault="004F0FE5" w:rsidP="00054E1A">
      <w:pPr>
        <w:numPr>
          <w:ilvl w:val="0"/>
          <w:numId w:val="8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 xml:space="preserve">Pontuação: </w:t>
      </w:r>
      <w:proofErr w:type="gramStart"/>
      <w:r w:rsidRPr="00F46E7E">
        <w:rPr>
          <w:rFonts w:ascii="Arial" w:hAnsi="Arial" w:cs="Arial"/>
          <w:b/>
          <w:color w:val="000000" w:themeColor="text1"/>
        </w:rPr>
        <w:t>3</w:t>
      </w:r>
      <w:proofErr w:type="gramEnd"/>
      <w:r w:rsidRPr="00F46E7E">
        <w:rPr>
          <w:rFonts w:ascii="Arial" w:hAnsi="Arial" w:cs="Arial"/>
          <w:b/>
          <w:color w:val="000000" w:themeColor="text1"/>
        </w:rPr>
        <w:t xml:space="preserve"> (todos aspectos adequados) × 20 = 60 pontos</w:t>
      </w:r>
    </w:p>
    <w:p w:rsidR="004F0FE5" w:rsidRPr="00F46E7E" w:rsidRDefault="004F0FE5" w:rsidP="00054E1A">
      <w:p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>Módulo 3 - Qualidade dos Serviços:</w:t>
      </w:r>
    </w:p>
    <w:p w:rsidR="004F0FE5" w:rsidRPr="00F46E7E" w:rsidRDefault="004F0FE5" w:rsidP="00054E1A">
      <w:pPr>
        <w:numPr>
          <w:ilvl w:val="0"/>
          <w:numId w:val="9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 xml:space="preserve">Central 24h atendeu prontamente </w:t>
      </w:r>
      <w:r w:rsidRPr="00F46E7E">
        <w:rPr>
          <w:rFonts w:ascii="Arial" w:hAnsi="Segoe UI Symbol" w:cs="Arial"/>
          <w:b/>
          <w:color w:val="000000" w:themeColor="text1"/>
        </w:rPr>
        <w:t>✓</w:t>
      </w:r>
    </w:p>
    <w:p w:rsidR="004F0FE5" w:rsidRPr="00F46E7E" w:rsidRDefault="004F0FE5" w:rsidP="00054E1A">
      <w:pPr>
        <w:numPr>
          <w:ilvl w:val="0"/>
          <w:numId w:val="9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 xml:space="preserve">Certificados ambientais e kit multas entregues no prazo </w:t>
      </w:r>
      <w:r w:rsidRPr="00F46E7E">
        <w:rPr>
          <w:rFonts w:ascii="Arial" w:hAnsi="Segoe UI Symbol" w:cs="Arial"/>
          <w:b/>
          <w:color w:val="000000" w:themeColor="text1"/>
        </w:rPr>
        <w:t>✓</w:t>
      </w:r>
    </w:p>
    <w:p w:rsidR="004F0FE5" w:rsidRPr="00F46E7E" w:rsidRDefault="004F0FE5" w:rsidP="00054E1A">
      <w:pPr>
        <w:numPr>
          <w:ilvl w:val="0"/>
          <w:numId w:val="9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 xml:space="preserve">Manutenção preventiva em dia, mas </w:t>
      </w:r>
      <w:r w:rsidR="00C5048D" w:rsidRPr="00F46E7E">
        <w:rPr>
          <w:rFonts w:ascii="Arial" w:hAnsi="Arial" w:cs="Arial"/>
          <w:b/>
          <w:color w:val="000000" w:themeColor="text1"/>
        </w:rPr>
        <w:t>um</w:t>
      </w:r>
      <w:r w:rsidRPr="00F46E7E">
        <w:rPr>
          <w:rFonts w:ascii="Arial" w:hAnsi="Arial" w:cs="Arial"/>
          <w:b/>
          <w:color w:val="000000" w:themeColor="text1"/>
        </w:rPr>
        <w:t xml:space="preserve"> sinistro com demora </w:t>
      </w:r>
      <w:r w:rsidR="00C5048D" w:rsidRPr="00F46E7E">
        <w:rPr>
          <w:rFonts w:ascii="Arial" w:hAnsi="Arial" w:cs="Arial"/>
          <w:b/>
          <w:color w:val="000000" w:themeColor="text1"/>
        </w:rPr>
        <w:t>excessiva</w:t>
      </w:r>
      <w:r w:rsidRPr="00F46E7E">
        <w:rPr>
          <w:rFonts w:ascii="Arial" w:hAnsi="Arial" w:cs="Arial"/>
          <w:b/>
          <w:color w:val="000000" w:themeColor="text1"/>
        </w:rPr>
        <w:t xml:space="preserve"> para resolver </w:t>
      </w:r>
      <w:r w:rsidR="00C5048D" w:rsidRPr="00F46E7E">
        <w:rPr>
          <w:rFonts w:ascii="Arial" w:hAnsi="Arial" w:cs="Arial"/>
          <w:b/>
          <w:color w:val="000000" w:themeColor="text1"/>
        </w:rPr>
        <w:t xml:space="preserve">a </w:t>
      </w:r>
      <w:r w:rsidRPr="00F46E7E">
        <w:rPr>
          <w:rFonts w:ascii="Arial" w:hAnsi="Arial" w:cs="Arial"/>
          <w:b/>
          <w:color w:val="000000" w:themeColor="text1"/>
        </w:rPr>
        <w:t xml:space="preserve">documentação </w:t>
      </w:r>
      <w:proofErr w:type="gramStart"/>
      <w:r w:rsidRPr="00F46E7E">
        <w:rPr>
          <w:rFonts w:ascii="Arial" w:hAnsi="Segoe UI Symbol" w:cs="Arial"/>
          <w:b/>
          <w:color w:val="000000" w:themeColor="text1"/>
        </w:rPr>
        <w:t>✗</w:t>
      </w:r>
      <w:proofErr w:type="gramEnd"/>
    </w:p>
    <w:p w:rsidR="004F0FE5" w:rsidRPr="00F46E7E" w:rsidRDefault="004F0FE5" w:rsidP="00054E1A">
      <w:pPr>
        <w:numPr>
          <w:ilvl w:val="0"/>
          <w:numId w:val="9"/>
        </w:num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 xml:space="preserve">Pontuação: </w:t>
      </w:r>
      <w:proofErr w:type="gramStart"/>
      <w:r w:rsidRPr="00F46E7E">
        <w:rPr>
          <w:rFonts w:ascii="Arial" w:hAnsi="Arial" w:cs="Arial"/>
          <w:b/>
          <w:color w:val="000000" w:themeColor="text1"/>
        </w:rPr>
        <w:t>2</w:t>
      </w:r>
      <w:proofErr w:type="gramEnd"/>
      <w:r w:rsidRPr="00F46E7E">
        <w:rPr>
          <w:rFonts w:ascii="Arial" w:hAnsi="Arial" w:cs="Arial"/>
          <w:b/>
          <w:color w:val="000000" w:themeColor="text1"/>
        </w:rPr>
        <w:t xml:space="preserve"> (um aspecto inadequado) × 30 = 60 pontos</w:t>
      </w:r>
    </w:p>
    <w:p w:rsidR="004F0FE5" w:rsidRPr="00F46E7E" w:rsidRDefault="004F0FE5" w:rsidP="00054E1A">
      <w:pPr>
        <w:jc w:val="both"/>
        <w:rPr>
          <w:rFonts w:ascii="Arial" w:hAnsi="Arial" w:cs="Arial"/>
          <w:b/>
          <w:color w:val="000000" w:themeColor="text1"/>
        </w:rPr>
      </w:pPr>
      <w:r w:rsidRPr="00F46E7E">
        <w:rPr>
          <w:rFonts w:ascii="Arial" w:hAnsi="Arial" w:cs="Arial"/>
          <w:b/>
          <w:color w:val="000000" w:themeColor="text1"/>
        </w:rPr>
        <w:t xml:space="preserve">TOTAL: 20 + 60 + 60 = 140 pontos Conceito: SATISFATÓRIO (faixa 121-150 pontos) Desconto aplicado: 2% Valor mensal contratado: </w:t>
      </w:r>
      <w:proofErr w:type="gramStart"/>
      <w:r w:rsidRPr="00F46E7E">
        <w:rPr>
          <w:rFonts w:ascii="Arial" w:hAnsi="Arial" w:cs="Arial"/>
          <w:b/>
          <w:color w:val="000000" w:themeColor="text1"/>
        </w:rPr>
        <w:t>R$ 50.000,00 Valor</w:t>
      </w:r>
      <w:proofErr w:type="gramEnd"/>
      <w:r w:rsidRPr="00F46E7E">
        <w:rPr>
          <w:rFonts w:ascii="Arial" w:hAnsi="Arial" w:cs="Arial"/>
          <w:b/>
          <w:color w:val="000000" w:themeColor="text1"/>
        </w:rPr>
        <w:t xml:space="preserve"> a receber: R$ 50.000,00 × 98% = R$ 49.000,00</w:t>
      </w: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000000" w:themeColor="text1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FF0000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FF0000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FF0000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FF0000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FF0000"/>
        </w:rPr>
      </w:pPr>
    </w:p>
    <w:p w:rsidR="0022544D" w:rsidRPr="00054E1A" w:rsidRDefault="0022544D" w:rsidP="00054E1A">
      <w:pPr>
        <w:jc w:val="both"/>
        <w:rPr>
          <w:rFonts w:ascii="Arial" w:hAnsi="Arial" w:cs="Arial"/>
          <w:b/>
          <w:color w:val="FF0000"/>
        </w:rPr>
      </w:pPr>
    </w:p>
    <w:p w:rsidR="004B78A0" w:rsidRPr="00054E1A" w:rsidRDefault="004B78A0" w:rsidP="00054E1A">
      <w:pPr>
        <w:jc w:val="both"/>
        <w:rPr>
          <w:rFonts w:ascii="Arial" w:hAnsi="Arial" w:cs="Arial"/>
          <w:b/>
          <w:color w:val="FF0000"/>
        </w:rPr>
      </w:pPr>
    </w:p>
    <w:sectPr w:rsidR="004B78A0" w:rsidRPr="00054E1A" w:rsidSect="008214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1867"/>
    <w:multiLevelType w:val="multilevel"/>
    <w:tmpl w:val="94643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262199"/>
    <w:multiLevelType w:val="multilevel"/>
    <w:tmpl w:val="2784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335BCE"/>
    <w:multiLevelType w:val="multilevel"/>
    <w:tmpl w:val="8ADE0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C82735"/>
    <w:multiLevelType w:val="multilevel"/>
    <w:tmpl w:val="8FA8A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C76E1C"/>
    <w:multiLevelType w:val="multilevel"/>
    <w:tmpl w:val="20C8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7374A3"/>
    <w:multiLevelType w:val="multilevel"/>
    <w:tmpl w:val="DD220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633936"/>
    <w:multiLevelType w:val="multilevel"/>
    <w:tmpl w:val="288A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2515D2"/>
    <w:multiLevelType w:val="hybridMultilevel"/>
    <w:tmpl w:val="4900ED6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79070F"/>
    <w:multiLevelType w:val="multilevel"/>
    <w:tmpl w:val="F2A2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D40EA4"/>
    <w:multiLevelType w:val="multilevel"/>
    <w:tmpl w:val="C0BC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174E"/>
    <w:rsid w:val="00046451"/>
    <w:rsid w:val="00047833"/>
    <w:rsid w:val="00054E1A"/>
    <w:rsid w:val="00061CA0"/>
    <w:rsid w:val="00084ECB"/>
    <w:rsid w:val="000B0513"/>
    <w:rsid w:val="000B0BA7"/>
    <w:rsid w:val="000D5C98"/>
    <w:rsid w:val="000F1B54"/>
    <w:rsid w:val="00134211"/>
    <w:rsid w:val="00184AFF"/>
    <w:rsid w:val="001C021E"/>
    <w:rsid w:val="001C2BF6"/>
    <w:rsid w:val="0020618C"/>
    <w:rsid w:val="0022544D"/>
    <w:rsid w:val="00251723"/>
    <w:rsid w:val="00332F0F"/>
    <w:rsid w:val="003C66FC"/>
    <w:rsid w:val="003C6F17"/>
    <w:rsid w:val="004B78A0"/>
    <w:rsid w:val="004D08AD"/>
    <w:rsid w:val="004F0FE5"/>
    <w:rsid w:val="005366D5"/>
    <w:rsid w:val="005808D9"/>
    <w:rsid w:val="00601C8C"/>
    <w:rsid w:val="00606611"/>
    <w:rsid w:val="00621818"/>
    <w:rsid w:val="00640C9A"/>
    <w:rsid w:val="00687DE4"/>
    <w:rsid w:val="007176DA"/>
    <w:rsid w:val="007477E7"/>
    <w:rsid w:val="007719D4"/>
    <w:rsid w:val="0078380E"/>
    <w:rsid w:val="00796804"/>
    <w:rsid w:val="007D1C6D"/>
    <w:rsid w:val="00821499"/>
    <w:rsid w:val="0084174E"/>
    <w:rsid w:val="008A4833"/>
    <w:rsid w:val="008C4D9E"/>
    <w:rsid w:val="008C6582"/>
    <w:rsid w:val="008E6D23"/>
    <w:rsid w:val="00921C60"/>
    <w:rsid w:val="00946DC6"/>
    <w:rsid w:val="00961B05"/>
    <w:rsid w:val="009740DF"/>
    <w:rsid w:val="00992A81"/>
    <w:rsid w:val="009B1B81"/>
    <w:rsid w:val="009D380A"/>
    <w:rsid w:val="00A26EEA"/>
    <w:rsid w:val="00A51AEB"/>
    <w:rsid w:val="00A85305"/>
    <w:rsid w:val="00AA6A4C"/>
    <w:rsid w:val="00BA1713"/>
    <w:rsid w:val="00BC0E5A"/>
    <w:rsid w:val="00C015EF"/>
    <w:rsid w:val="00C07A3A"/>
    <w:rsid w:val="00C2180D"/>
    <w:rsid w:val="00C5048D"/>
    <w:rsid w:val="00C62BD1"/>
    <w:rsid w:val="00C7132B"/>
    <w:rsid w:val="00C90EEF"/>
    <w:rsid w:val="00CA5351"/>
    <w:rsid w:val="00CC44B7"/>
    <w:rsid w:val="00CF720E"/>
    <w:rsid w:val="00D11014"/>
    <w:rsid w:val="00D47B0E"/>
    <w:rsid w:val="00D805B9"/>
    <w:rsid w:val="00DA75A8"/>
    <w:rsid w:val="00E324FF"/>
    <w:rsid w:val="00EA4371"/>
    <w:rsid w:val="00EA60C1"/>
    <w:rsid w:val="00EC7344"/>
    <w:rsid w:val="00F46E7E"/>
    <w:rsid w:val="00F62ECA"/>
    <w:rsid w:val="00F80A1F"/>
    <w:rsid w:val="00FF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49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40DF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7477E7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477E7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BC0E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1416</Words>
  <Characters>7648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</dc:creator>
  <cp:keywords/>
  <dc:description/>
  <cp:lastModifiedBy>xpadmin</cp:lastModifiedBy>
  <cp:revision>6</cp:revision>
  <dcterms:created xsi:type="dcterms:W3CDTF">2025-11-11T16:36:00Z</dcterms:created>
  <dcterms:modified xsi:type="dcterms:W3CDTF">2026-05-07T18:45:00Z</dcterms:modified>
</cp:coreProperties>
</file>