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0" w:rsidRPr="004B770F" w:rsidRDefault="007F21F0" w:rsidP="007F21F0">
      <w:pPr>
        <w:spacing w:line="360" w:lineRule="auto"/>
        <w:jc w:val="both"/>
        <w:rPr>
          <w:rFonts w:ascii="Times New Roman" w:hAnsi="Times New Roman"/>
          <w:b/>
          <w:sz w:val="28"/>
          <w:szCs w:val="28"/>
        </w:rPr>
      </w:pPr>
      <w:r w:rsidRPr="004B770F">
        <w:rPr>
          <w:rFonts w:ascii="Times New Roman" w:hAnsi="Times New Roman"/>
          <w:b/>
          <w:sz w:val="28"/>
          <w:szCs w:val="28"/>
        </w:rPr>
        <w:t xml:space="preserve">PROCESSO N.º </w:t>
      </w:r>
      <w:r w:rsidR="000E3D2C" w:rsidRPr="000E3D2C">
        <w:rPr>
          <w:rFonts w:ascii="Times New Roman" w:hAnsi="Times New Roman"/>
          <w:b/>
          <w:sz w:val="28"/>
          <w:szCs w:val="28"/>
        </w:rPr>
        <w:t>70085174480</w:t>
      </w:r>
      <w:r w:rsidRPr="004B770F">
        <w:rPr>
          <w:rFonts w:ascii="Times New Roman" w:hAnsi="Times New Roman"/>
          <w:b/>
          <w:sz w:val="28"/>
          <w:szCs w:val="28"/>
        </w:rPr>
        <w:t xml:space="preserve"> – TRIBUNAL PLENO</w:t>
      </w:r>
    </w:p>
    <w:p w:rsidR="007F21F0" w:rsidRPr="004B770F" w:rsidRDefault="007F21F0" w:rsidP="007F21F0">
      <w:pPr>
        <w:spacing w:line="360" w:lineRule="auto"/>
        <w:jc w:val="both"/>
        <w:rPr>
          <w:rFonts w:ascii="Times New Roman" w:hAnsi="Times New Roman"/>
          <w:sz w:val="28"/>
          <w:szCs w:val="28"/>
        </w:rPr>
      </w:pPr>
      <w:r w:rsidRPr="004B770F">
        <w:rPr>
          <w:rFonts w:ascii="Times New Roman" w:hAnsi="Times New Roman"/>
          <w:sz w:val="28"/>
          <w:szCs w:val="28"/>
        </w:rPr>
        <w:t>CLASSE: AÇÃO DIRETA DE INCONSTITUCIONALIDADE</w:t>
      </w:r>
    </w:p>
    <w:p w:rsidR="007F21F0" w:rsidRPr="004B770F" w:rsidRDefault="002124A4" w:rsidP="007F21F0">
      <w:pPr>
        <w:spacing w:line="360" w:lineRule="auto"/>
        <w:jc w:val="both"/>
        <w:rPr>
          <w:rFonts w:ascii="Times New Roman" w:hAnsi="Times New Roman"/>
          <w:sz w:val="28"/>
          <w:szCs w:val="28"/>
        </w:rPr>
      </w:pPr>
      <w:r>
        <w:rPr>
          <w:rFonts w:ascii="Times New Roman" w:hAnsi="Times New Roman"/>
          <w:sz w:val="28"/>
          <w:szCs w:val="28"/>
        </w:rPr>
        <w:t xml:space="preserve">PROPONENTE: </w:t>
      </w:r>
      <w:r w:rsidR="000E3D2C" w:rsidRPr="000E3D2C">
        <w:rPr>
          <w:rFonts w:ascii="Times New Roman" w:hAnsi="Times New Roman"/>
          <w:sz w:val="28"/>
          <w:szCs w:val="28"/>
        </w:rPr>
        <w:t>PARTIDO NOVO – RS</w:t>
      </w:r>
    </w:p>
    <w:p w:rsidR="005D07A2" w:rsidRDefault="002B4481" w:rsidP="007F21F0">
      <w:pPr>
        <w:spacing w:line="360" w:lineRule="auto"/>
        <w:jc w:val="both"/>
        <w:rPr>
          <w:rFonts w:ascii="Times New Roman" w:hAnsi="Times New Roman"/>
          <w:sz w:val="28"/>
          <w:szCs w:val="28"/>
        </w:rPr>
      </w:pPr>
      <w:r w:rsidRPr="00BE6C42">
        <w:rPr>
          <w:rFonts w:ascii="Times New Roman" w:hAnsi="Times New Roman"/>
          <w:sz w:val="28"/>
          <w:szCs w:val="28"/>
        </w:rPr>
        <w:t>REQUERIDOS</w:t>
      </w:r>
      <w:r w:rsidR="007F21F0" w:rsidRPr="00BE6C42">
        <w:rPr>
          <w:rFonts w:ascii="Times New Roman" w:hAnsi="Times New Roman"/>
          <w:sz w:val="28"/>
          <w:szCs w:val="28"/>
        </w:rPr>
        <w:t xml:space="preserve">: </w:t>
      </w:r>
      <w:r w:rsidR="005D07A2" w:rsidRPr="00BE6C42">
        <w:rPr>
          <w:rFonts w:ascii="Times New Roman" w:hAnsi="Times New Roman"/>
          <w:sz w:val="28"/>
          <w:szCs w:val="28"/>
        </w:rPr>
        <w:t>ASSEMBLEIA LEGISLATIVA DO ESTADO DO RIO GRANDE DO SUL</w:t>
      </w:r>
      <w:r w:rsidRPr="00BE6C42">
        <w:rPr>
          <w:rFonts w:ascii="Times New Roman" w:hAnsi="Times New Roman"/>
          <w:sz w:val="28"/>
          <w:szCs w:val="28"/>
        </w:rPr>
        <w:t xml:space="preserve"> e GOVERNADOR DO ESTADO DO RIO GRANDE DO SUL</w:t>
      </w:r>
    </w:p>
    <w:p w:rsidR="007F21F0" w:rsidRPr="004B770F" w:rsidRDefault="007F21F0" w:rsidP="007F21F0">
      <w:pPr>
        <w:spacing w:line="360" w:lineRule="auto"/>
        <w:jc w:val="both"/>
        <w:rPr>
          <w:rFonts w:ascii="Times New Roman" w:hAnsi="Times New Roman"/>
          <w:sz w:val="28"/>
          <w:szCs w:val="28"/>
        </w:rPr>
      </w:pPr>
      <w:r w:rsidRPr="004B770F">
        <w:rPr>
          <w:rFonts w:ascii="Times New Roman" w:hAnsi="Times New Roman"/>
          <w:sz w:val="28"/>
          <w:szCs w:val="28"/>
        </w:rPr>
        <w:t>INTERESSADO: PROCURADOR-GERAL DO ESTADO</w:t>
      </w:r>
    </w:p>
    <w:p w:rsidR="007F21F0" w:rsidRPr="00995246" w:rsidRDefault="007F21F0" w:rsidP="007F21F0">
      <w:pPr>
        <w:pBdr>
          <w:bottom w:val="single" w:sz="4" w:space="1" w:color="auto"/>
        </w:pBdr>
        <w:spacing w:line="360" w:lineRule="auto"/>
        <w:jc w:val="both"/>
        <w:rPr>
          <w:rFonts w:ascii="Times New Roman" w:hAnsi="Times New Roman"/>
          <w:b/>
          <w:sz w:val="28"/>
          <w:szCs w:val="28"/>
        </w:rPr>
      </w:pPr>
      <w:r w:rsidRPr="004F0B28">
        <w:rPr>
          <w:rFonts w:ascii="Times New Roman" w:hAnsi="Times New Roman"/>
          <w:b/>
          <w:sz w:val="28"/>
          <w:szCs w:val="28"/>
        </w:rPr>
        <w:t>RELATOR</w:t>
      </w:r>
      <w:r w:rsidR="000E3D2C">
        <w:rPr>
          <w:rFonts w:ascii="Times New Roman" w:hAnsi="Times New Roman"/>
          <w:b/>
          <w:sz w:val="28"/>
          <w:szCs w:val="28"/>
        </w:rPr>
        <w:t>A</w:t>
      </w:r>
      <w:r w:rsidRPr="004F0B28">
        <w:rPr>
          <w:rFonts w:ascii="Times New Roman" w:hAnsi="Times New Roman"/>
          <w:b/>
          <w:sz w:val="28"/>
          <w:szCs w:val="28"/>
        </w:rPr>
        <w:t xml:space="preserve">: </w:t>
      </w:r>
      <w:proofErr w:type="gramStart"/>
      <w:r w:rsidRPr="00995246">
        <w:rPr>
          <w:rFonts w:ascii="Times New Roman" w:hAnsi="Times New Roman"/>
          <w:b/>
          <w:sz w:val="28"/>
          <w:szCs w:val="28"/>
        </w:rPr>
        <w:t>DESEMBARGADOR</w:t>
      </w:r>
      <w:r w:rsidR="000E3D2C">
        <w:rPr>
          <w:rFonts w:ascii="Times New Roman" w:hAnsi="Times New Roman"/>
          <w:b/>
          <w:sz w:val="28"/>
          <w:szCs w:val="28"/>
        </w:rPr>
        <w:t>A</w:t>
      </w:r>
      <w:r w:rsidRPr="00995246">
        <w:rPr>
          <w:rFonts w:ascii="Times New Roman" w:hAnsi="Times New Roman"/>
          <w:b/>
          <w:sz w:val="28"/>
          <w:szCs w:val="28"/>
        </w:rPr>
        <w:t xml:space="preserve"> </w:t>
      </w:r>
      <w:r w:rsidR="000E3D2C" w:rsidRPr="000E3D2C">
        <w:rPr>
          <w:rFonts w:ascii="Times New Roman" w:hAnsi="Times New Roman"/>
          <w:b/>
          <w:sz w:val="28"/>
          <w:szCs w:val="28"/>
        </w:rPr>
        <w:t>IRIS HELENA</w:t>
      </w:r>
      <w:proofErr w:type="gramEnd"/>
      <w:r w:rsidR="000E3D2C" w:rsidRPr="000E3D2C">
        <w:rPr>
          <w:rFonts w:ascii="Times New Roman" w:hAnsi="Times New Roman"/>
          <w:b/>
          <w:sz w:val="28"/>
          <w:szCs w:val="28"/>
        </w:rPr>
        <w:t xml:space="preserve"> MEDEIROS NOGUEIRA</w:t>
      </w:r>
    </w:p>
    <w:p w:rsidR="00B22818" w:rsidRPr="004B770F" w:rsidRDefault="00B22818" w:rsidP="007F21F0">
      <w:pPr>
        <w:spacing w:line="360" w:lineRule="auto"/>
        <w:jc w:val="both"/>
        <w:rPr>
          <w:rFonts w:ascii="Times New Roman" w:hAnsi="Times New Roman"/>
          <w:sz w:val="28"/>
          <w:szCs w:val="28"/>
        </w:rPr>
      </w:pPr>
    </w:p>
    <w:p w:rsidR="00857E26" w:rsidRDefault="00857E26" w:rsidP="007F21F0">
      <w:pPr>
        <w:spacing w:line="360" w:lineRule="auto"/>
        <w:jc w:val="both"/>
        <w:rPr>
          <w:rFonts w:ascii="Times New Roman" w:hAnsi="Times New Roman"/>
          <w:sz w:val="28"/>
          <w:szCs w:val="28"/>
        </w:rPr>
      </w:pPr>
    </w:p>
    <w:p w:rsidR="00857E26" w:rsidRPr="004B770F" w:rsidRDefault="00857E26" w:rsidP="007F21F0">
      <w:pPr>
        <w:spacing w:line="360" w:lineRule="auto"/>
        <w:jc w:val="both"/>
        <w:rPr>
          <w:rFonts w:ascii="Times New Roman" w:hAnsi="Times New Roman"/>
          <w:sz w:val="28"/>
          <w:szCs w:val="28"/>
        </w:rPr>
      </w:pPr>
    </w:p>
    <w:p w:rsidR="007F21F0" w:rsidRPr="00B8722E" w:rsidRDefault="007F21F0" w:rsidP="00B8722E">
      <w:pPr>
        <w:spacing w:line="360" w:lineRule="auto"/>
        <w:jc w:val="center"/>
        <w:rPr>
          <w:rFonts w:ascii="Times New Roman" w:hAnsi="Times New Roman"/>
          <w:b/>
          <w:sz w:val="32"/>
          <w:szCs w:val="32"/>
        </w:rPr>
      </w:pPr>
      <w:r w:rsidRPr="004B770F">
        <w:rPr>
          <w:rFonts w:ascii="Times New Roman" w:hAnsi="Times New Roman"/>
          <w:b/>
          <w:sz w:val="32"/>
          <w:szCs w:val="32"/>
        </w:rPr>
        <w:t>PARECER</w:t>
      </w:r>
    </w:p>
    <w:p w:rsidR="00012E45" w:rsidRDefault="00012E45" w:rsidP="00B22818">
      <w:pPr>
        <w:spacing w:line="360" w:lineRule="auto"/>
        <w:jc w:val="both"/>
        <w:rPr>
          <w:rFonts w:ascii="Times New Roman" w:hAnsi="Times New Roman"/>
          <w:i/>
          <w:sz w:val="28"/>
          <w:szCs w:val="28"/>
        </w:rPr>
      </w:pPr>
    </w:p>
    <w:p w:rsidR="00857E26" w:rsidRPr="004B770F" w:rsidRDefault="00857E26" w:rsidP="00B22818">
      <w:pPr>
        <w:spacing w:line="360" w:lineRule="auto"/>
        <w:jc w:val="both"/>
        <w:rPr>
          <w:rFonts w:ascii="Times New Roman" w:hAnsi="Times New Roman"/>
          <w:i/>
          <w:sz w:val="28"/>
          <w:szCs w:val="28"/>
        </w:rPr>
      </w:pPr>
    </w:p>
    <w:p w:rsidR="00B872AE" w:rsidRPr="0039373F" w:rsidRDefault="007F21F0" w:rsidP="00FF60EF">
      <w:pPr>
        <w:spacing w:line="360" w:lineRule="auto"/>
        <w:ind w:left="1701"/>
        <w:jc w:val="both"/>
        <w:rPr>
          <w:rFonts w:ascii="Times New Roman" w:hAnsi="Times New Roman"/>
          <w:i/>
          <w:iCs/>
        </w:rPr>
      </w:pPr>
      <w:r w:rsidRPr="00FF60EF">
        <w:rPr>
          <w:rFonts w:ascii="Times New Roman" w:hAnsi="Times New Roman"/>
          <w:i/>
        </w:rPr>
        <w:t xml:space="preserve">AÇÃO DIRETA DE INCONSTITUCIONALIDADE. </w:t>
      </w:r>
      <w:r w:rsidR="0039373F" w:rsidRPr="00FF60EF">
        <w:rPr>
          <w:rFonts w:ascii="Times New Roman" w:hAnsi="Times New Roman"/>
          <w:i/>
          <w:iCs/>
        </w:rPr>
        <w:t xml:space="preserve">Pretensão de ver declarada a inconstitucionalidade parcial, sem redução de texto, da expressão “prêmio de produtividade”, inserta no artigo 3º da Lei Estadual nº 10.298/1994, com redação </w:t>
      </w:r>
      <w:proofErr w:type="gramStart"/>
      <w:r w:rsidR="0039373F" w:rsidRPr="00FF60EF">
        <w:rPr>
          <w:rFonts w:ascii="Times New Roman" w:hAnsi="Times New Roman"/>
          <w:i/>
          <w:iCs/>
        </w:rPr>
        <w:t>dada</w:t>
      </w:r>
      <w:proofErr w:type="gramEnd"/>
      <w:r w:rsidR="0039373F" w:rsidRPr="00FF60EF">
        <w:rPr>
          <w:rFonts w:ascii="Times New Roman" w:hAnsi="Times New Roman"/>
          <w:i/>
          <w:iCs/>
        </w:rPr>
        <w:t xml:space="preserve"> </w:t>
      </w:r>
      <w:proofErr w:type="gramStart"/>
      <w:r w:rsidR="0039373F" w:rsidRPr="00FF60EF">
        <w:rPr>
          <w:rFonts w:ascii="Times New Roman" w:hAnsi="Times New Roman"/>
          <w:i/>
          <w:iCs/>
        </w:rPr>
        <w:t>pela</w:t>
      </w:r>
      <w:proofErr w:type="gramEnd"/>
      <w:r w:rsidR="0039373F" w:rsidRPr="00FF60EF">
        <w:rPr>
          <w:rFonts w:ascii="Times New Roman" w:hAnsi="Times New Roman"/>
          <w:i/>
          <w:iCs/>
        </w:rPr>
        <w:t xml:space="preserve"> Lei Estadual nº 12.222/2004, bem como a inconstitucionalidade, por arrastamento, do artigo 4º do Decreto Estadual nº 54.454, de 28 de dezembro de 2018, e da Resolução nº 151, de 04 de abril de 2019. Encaminhamento dos autos ao Ministério Público para análise de questões preliminares. </w:t>
      </w:r>
      <w:r w:rsidR="00D544D9" w:rsidRPr="00FF60EF">
        <w:rPr>
          <w:rFonts w:ascii="Times New Roman" w:hAnsi="Times New Roman"/>
          <w:b/>
          <w:i/>
        </w:rPr>
        <w:t>1.</w:t>
      </w:r>
      <w:r w:rsidR="0039373F" w:rsidRPr="00FF60EF">
        <w:rPr>
          <w:rFonts w:ascii="Times New Roman" w:hAnsi="Times New Roman"/>
          <w:i/>
        </w:rPr>
        <w:t xml:space="preserve"> Aventado impedimento de dois dos </w:t>
      </w:r>
      <w:r w:rsidR="006D062F" w:rsidRPr="00FF60EF">
        <w:rPr>
          <w:rFonts w:ascii="Times New Roman" w:hAnsi="Times New Roman"/>
          <w:i/>
        </w:rPr>
        <w:t xml:space="preserve">procuradores do proponente, </w:t>
      </w:r>
      <w:r w:rsidR="00966708" w:rsidRPr="00FF60EF">
        <w:rPr>
          <w:rFonts w:ascii="Times New Roman" w:hAnsi="Times New Roman"/>
          <w:i/>
        </w:rPr>
        <w:t xml:space="preserve">por serem servidores comissionados da Assembleia Legislativa, </w:t>
      </w:r>
      <w:r w:rsidR="00FF60EF" w:rsidRPr="00FF60EF">
        <w:rPr>
          <w:rFonts w:ascii="Times New Roman" w:hAnsi="Times New Roman"/>
          <w:i/>
        </w:rPr>
        <w:t xml:space="preserve">que teriam violado </w:t>
      </w:r>
      <w:r w:rsidR="00FF60EF" w:rsidRPr="00FF60EF">
        <w:rPr>
          <w:rFonts w:ascii="Times New Roman" w:hAnsi="Times New Roman"/>
          <w:i/>
        </w:rPr>
        <w:lastRenderedPageBreak/>
        <w:t>a vedação constante no art. 30, inciso I, combinado com o art. 34, inciso I,</w:t>
      </w:r>
      <w:r w:rsidR="00E4586C">
        <w:rPr>
          <w:rFonts w:ascii="Times New Roman" w:hAnsi="Times New Roman"/>
          <w:i/>
        </w:rPr>
        <w:t xml:space="preserve"> ambos</w:t>
      </w:r>
      <w:r w:rsidR="00FF60EF" w:rsidRPr="00FF60EF">
        <w:rPr>
          <w:rFonts w:ascii="Times New Roman" w:hAnsi="Times New Roman"/>
          <w:i/>
        </w:rPr>
        <w:t xml:space="preserve"> do Estatuto da OAB.</w:t>
      </w:r>
      <w:r w:rsidR="00653388" w:rsidRPr="00FF60EF">
        <w:rPr>
          <w:rFonts w:ascii="Times New Roman" w:hAnsi="Times New Roman"/>
          <w:i/>
        </w:rPr>
        <w:t xml:space="preserve"> Questão</w:t>
      </w:r>
      <w:r w:rsidR="00FF60EF" w:rsidRPr="00FF60EF">
        <w:rPr>
          <w:rFonts w:ascii="Times New Roman" w:hAnsi="Times New Roman"/>
          <w:i/>
        </w:rPr>
        <w:t xml:space="preserve"> processual superada por iniciativa dos próprios advogados, que deixaram de exercer, voluntariamente, </w:t>
      </w:r>
      <w:r w:rsidR="00A31CFC" w:rsidRPr="00FF60EF">
        <w:rPr>
          <w:rFonts w:ascii="Times New Roman" w:hAnsi="Times New Roman"/>
          <w:i/>
        </w:rPr>
        <w:t xml:space="preserve">a função de patronos do proponente. </w:t>
      </w:r>
      <w:r w:rsidR="00FF60EF" w:rsidRPr="00FF60EF">
        <w:rPr>
          <w:rFonts w:ascii="Times New Roman" w:hAnsi="Times New Roman"/>
          <w:b/>
          <w:i/>
        </w:rPr>
        <w:t>2</w:t>
      </w:r>
      <w:r w:rsidR="005429BC" w:rsidRPr="00FF60EF">
        <w:rPr>
          <w:rFonts w:ascii="Times New Roman" w:hAnsi="Times New Roman"/>
          <w:b/>
          <w:bCs/>
          <w:i/>
        </w:rPr>
        <w:t xml:space="preserve">. </w:t>
      </w:r>
      <w:r w:rsidR="00E14D33" w:rsidRPr="00FF60EF">
        <w:rPr>
          <w:rFonts w:ascii="Times New Roman" w:hAnsi="Times New Roman"/>
          <w:i/>
        </w:rPr>
        <w:t>Suscitada p</w:t>
      </w:r>
      <w:r w:rsidR="005429BC" w:rsidRPr="00FF60EF">
        <w:rPr>
          <w:rFonts w:ascii="Times New Roman" w:hAnsi="Times New Roman"/>
          <w:i/>
        </w:rPr>
        <w:t>revenção do Desembargador que exerceu</w:t>
      </w:r>
      <w:r w:rsidR="00E4586C">
        <w:rPr>
          <w:rFonts w:ascii="Times New Roman" w:hAnsi="Times New Roman"/>
          <w:i/>
        </w:rPr>
        <w:t xml:space="preserve"> a</w:t>
      </w:r>
      <w:r w:rsidR="005429BC" w:rsidRPr="00FF60EF">
        <w:rPr>
          <w:rFonts w:ascii="Times New Roman" w:hAnsi="Times New Roman"/>
          <w:i/>
        </w:rPr>
        <w:t xml:space="preserve"> relatoria </w:t>
      </w:r>
      <w:r w:rsidR="00927DE0" w:rsidRPr="00FF60EF">
        <w:rPr>
          <w:rFonts w:ascii="Times New Roman" w:hAnsi="Times New Roman"/>
          <w:i/>
        </w:rPr>
        <w:t xml:space="preserve">da Ação Direta de Inconstitucionalidade n.º </w:t>
      </w:r>
      <w:r w:rsidR="00E4586C" w:rsidRPr="00E4586C">
        <w:rPr>
          <w:rFonts w:ascii="Times New Roman" w:hAnsi="Times New Roman"/>
          <w:i/>
        </w:rPr>
        <w:t>0327307-79.2019.8.21.7000</w:t>
      </w:r>
      <w:r w:rsidR="00AE6EF7" w:rsidRPr="00FF60EF">
        <w:rPr>
          <w:rFonts w:ascii="Times New Roman" w:hAnsi="Times New Roman"/>
          <w:i/>
        </w:rPr>
        <w:t>.</w:t>
      </w:r>
      <w:r w:rsidR="00E14D33" w:rsidRPr="00FF60EF">
        <w:rPr>
          <w:rFonts w:ascii="Times New Roman" w:hAnsi="Times New Roman"/>
          <w:i/>
        </w:rPr>
        <w:t xml:space="preserve"> Descabimento.</w:t>
      </w:r>
      <w:r w:rsidR="00AE6EF7" w:rsidRPr="00FF60EF">
        <w:rPr>
          <w:rFonts w:ascii="Times New Roman" w:hAnsi="Times New Roman"/>
          <w:i/>
        </w:rPr>
        <w:t xml:space="preserve"> O fundamento precípuo da prevenção é evitar a prolação de decisões contraditórias</w:t>
      </w:r>
      <w:r w:rsidR="00FF60EF" w:rsidRPr="00FF60EF">
        <w:rPr>
          <w:rFonts w:ascii="Times New Roman" w:hAnsi="Times New Roman"/>
          <w:i/>
        </w:rPr>
        <w:t xml:space="preserve"> em ações que estejam em curso</w:t>
      </w:r>
      <w:r w:rsidR="00AE6EF7" w:rsidRPr="00FF60EF">
        <w:rPr>
          <w:rFonts w:ascii="Times New Roman" w:hAnsi="Times New Roman"/>
          <w:i/>
        </w:rPr>
        <w:t>. Inexist</w:t>
      </w:r>
      <w:r w:rsidR="00FF60EF" w:rsidRPr="00FF60EF">
        <w:rPr>
          <w:rFonts w:ascii="Times New Roman" w:hAnsi="Times New Roman"/>
          <w:i/>
        </w:rPr>
        <w:t>ência de fundamento normativo</w:t>
      </w:r>
      <w:r w:rsidR="00AE6EF7" w:rsidRPr="00FF60EF">
        <w:rPr>
          <w:rFonts w:ascii="Times New Roman" w:hAnsi="Times New Roman"/>
          <w:i/>
        </w:rPr>
        <w:t xml:space="preserve"> para a </w:t>
      </w:r>
      <w:r w:rsidR="00AB0AC3" w:rsidRPr="00FF60EF">
        <w:rPr>
          <w:rFonts w:ascii="Times New Roman" w:hAnsi="Times New Roman"/>
          <w:i/>
        </w:rPr>
        <w:t>aplicação do instituto quando a ação anterior já transitou em julgado.</w:t>
      </w:r>
      <w:r w:rsidR="00FF60EF" w:rsidRPr="00FF60EF">
        <w:rPr>
          <w:rFonts w:ascii="Times New Roman" w:hAnsi="Times New Roman"/>
          <w:i/>
        </w:rPr>
        <w:t xml:space="preserve"> </w:t>
      </w:r>
      <w:r w:rsidRPr="00FF60EF">
        <w:rPr>
          <w:rFonts w:ascii="Times New Roman" w:hAnsi="Times New Roman"/>
          <w:b/>
          <w:i/>
        </w:rPr>
        <w:t>PARECER PEL</w:t>
      </w:r>
      <w:r w:rsidR="00AB0AC3" w:rsidRPr="00FF60EF">
        <w:rPr>
          <w:rFonts w:ascii="Times New Roman" w:hAnsi="Times New Roman"/>
          <w:b/>
          <w:i/>
        </w:rPr>
        <w:t>O D</w:t>
      </w:r>
      <w:r w:rsidR="00E14D33" w:rsidRPr="00FF60EF">
        <w:rPr>
          <w:rFonts w:ascii="Times New Roman" w:hAnsi="Times New Roman"/>
          <w:b/>
          <w:i/>
        </w:rPr>
        <w:t>ESACOLHIMENTO DAS PRELIMINARES</w:t>
      </w:r>
      <w:r w:rsidRPr="00FF60EF">
        <w:rPr>
          <w:rFonts w:ascii="Times New Roman" w:hAnsi="Times New Roman"/>
          <w:i/>
        </w:rPr>
        <w:t>.</w:t>
      </w:r>
    </w:p>
    <w:p w:rsidR="002124A4" w:rsidRDefault="002124A4" w:rsidP="001B0121">
      <w:pPr>
        <w:autoSpaceDE w:val="0"/>
        <w:autoSpaceDN w:val="0"/>
        <w:adjustRightInd w:val="0"/>
        <w:spacing w:line="360" w:lineRule="auto"/>
        <w:ind w:left="1701"/>
        <w:jc w:val="both"/>
        <w:rPr>
          <w:rFonts w:ascii="Times New Roman" w:hAnsi="Times New Roman"/>
          <w:i/>
        </w:rPr>
      </w:pPr>
    </w:p>
    <w:p w:rsidR="004934A6" w:rsidRPr="005C4B58" w:rsidRDefault="004934A6" w:rsidP="004141FC">
      <w:pPr>
        <w:autoSpaceDE w:val="0"/>
        <w:autoSpaceDN w:val="0"/>
        <w:adjustRightInd w:val="0"/>
        <w:spacing w:line="360" w:lineRule="auto"/>
        <w:jc w:val="both"/>
        <w:rPr>
          <w:rFonts w:ascii="Times New Roman" w:hAnsi="Times New Roman"/>
          <w:i/>
        </w:rPr>
      </w:pPr>
    </w:p>
    <w:p w:rsidR="007F21F0" w:rsidRPr="004B770F" w:rsidRDefault="007F21F0" w:rsidP="000E3D2C">
      <w:pPr>
        <w:spacing w:line="360" w:lineRule="auto"/>
        <w:ind w:firstLine="1701"/>
        <w:jc w:val="both"/>
        <w:rPr>
          <w:rFonts w:ascii="Times New Roman" w:hAnsi="Times New Roman"/>
          <w:sz w:val="28"/>
          <w:szCs w:val="28"/>
        </w:rPr>
      </w:pPr>
      <w:r w:rsidRPr="004B770F">
        <w:rPr>
          <w:rFonts w:ascii="Times New Roman" w:hAnsi="Times New Roman"/>
          <w:b/>
          <w:sz w:val="28"/>
          <w:szCs w:val="28"/>
        </w:rPr>
        <w:t xml:space="preserve">1. </w:t>
      </w:r>
      <w:r w:rsidRPr="004B770F">
        <w:rPr>
          <w:rFonts w:ascii="Times New Roman" w:hAnsi="Times New Roman"/>
          <w:sz w:val="28"/>
          <w:szCs w:val="28"/>
        </w:rPr>
        <w:t>Trata-se de ação direta de inc</w:t>
      </w:r>
      <w:r w:rsidR="002124A4">
        <w:rPr>
          <w:rFonts w:ascii="Times New Roman" w:hAnsi="Times New Roman"/>
          <w:sz w:val="28"/>
          <w:szCs w:val="28"/>
        </w:rPr>
        <w:t>onstitucionalidade proposta pe</w:t>
      </w:r>
      <w:r w:rsidR="001F2D5B">
        <w:rPr>
          <w:rFonts w:ascii="Times New Roman" w:hAnsi="Times New Roman"/>
          <w:sz w:val="28"/>
          <w:szCs w:val="28"/>
        </w:rPr>
        <w:t>l</w:t>
      </w:r>
      <w:r w:rsidR="000E3D2C">
        <w:rPr>
          <w:rFonts w:ascii="Times New Roman" w:hAnsi="Times New Roman"/>
          <w:sz w:val="28"/>
          <w:szCs w:val="28"/>
        </w:rPr>
        <w:t xml:space="preserve">o </w:t>
      </w:r>
      <w:r w:rsidR="00444AE9">
        <w:rPr>
          <w:rFonts w:ascii="Times New Roman" w:hAnsi="Times New Roman"/>
          <w:b/>
          <w:bCs/>
          <w:sz w:val="28"/>
          <w:szCs w:val="28"/>
        </w:rPr>
        <w:t xml:space="preserve">Partido Novo </w:t>
      </w:r>
      <w:r w:rsidR="000E3D2C">
        <w:rPr>
          <w:rFonts w:ascii="Times New Roman" w:hAnsi="Times New Roman"/>
          <w:b/>
          <w:bCs/>
          <w:sz w:val="28"/>
          <w:szCs w:val="28"/>
        </w:rPr>
        <w:t>-</w:t>
      </w:r>
      <w:r w:rsidR="00444AE9">
        <w:rPr>
          <w:rFonts w:ascii="Times New Roman" w:hAnsi="Times New Roman"/>
          <w:b/>
          <w:bCs/>
          <w:sz w:val="28"/>
          <w:szCs w:val="28"/>
        </w:rPr>
        <w:t xml:space="preserve"> </w:t>
      </w:r>
      <w:r w:rsidR="000E3D2C">
        <w:rPr>
          <w:rFonts w:ascii="Times New Roman" w:hAnsi="Times New Roman"/>
          <w:b/>
          <w:bCs/>
          <w:sz w:val="28"/>
          <w:szCs w:val="28"/>
        </w:rPr>
        <w:t>RS</w:t>
      </w:r>
      <w:r w:rsidRPr="004B770F">
        <w:rPr>
          <w:rFonts w:ascii="Times New Roman" w:hAnsi="Times New Roman"/>
          <w:sz w:val="28"/>
          <w:szCs w:val="28"/>
        </w:rPr>
        <w:t xml:space="preserve">, objetivando </w:t>
      </w:r>
      <w:r w:rsidR="000E3D2C" w:rsidRPr="000E3D2C">
        <w:rPr>
          <w:rFonts w:ascii="Times New Roman" w:hAnsi="Times New Roman"/>
          <w:sz w:val="28"/>
          <w:szCs w:val="28"/>
        </w:rPr>
        <w:t>a declaração de</w:t>
      </w:r>
      <w:r w:rsidR="000E3D2C">
        <w:rPr>
          <w:rFonts w:ascii="Times New Roman" w:hAnsi="Times New Roman"/>
          <w:sz w:val="28"/>
          <w:szCs w:val="28"/>
        </w:rPr>
        <w:t xml:space="preserve"> </w:t>
      </w:r>
      <w:r w:rsidR="000E3D2C" w:rsidRPr="000E3D2C">
        <w:rPr>
          <w:rFonts w:ascii="Times New Roman" w:hAnsi="Times New Roman"/>
          <w:sz w:val="28"/>
          <w:szCs w:val="28"/>
        </w:rPr>
        <w:t>inconstitucionalidade parcial, sem redução de texto, da expressão</w:t>
      </w:r>
      <w:r w:rsidR="000E3D2C">
        <w:rPr>
          <w:rFonts w:ascii="Times New Roman" w:hAnsi="Times New Roman"/>
          <w:sz w:val="28"/>
          <w:szCs w:val="28"/>
        </w:rPr>
        <w:t xml:space="preserve"> </w:t>
      </w:r>
      <w:r w:rsidR="000E3D2C" w:rsidRPr="000E3D2C">
        <w:rPr>
          <w:rFonts w:ascii="Times New Roman" w:hAnsi="Times New Roman"/>
          <w:sz w:val="28"/>
          <w:szCs w:val="28"/>
        </w:rPr>
        <w:t>“prêmio de produtividade”</w:t>
      </w:r>
      <w:r w:rsidR="008F5723">
        <w:rPr>
          <w:rFonts w:ascii="Times New Roman" w:hAnsi="Times New Roman"/>
          <w:sz w:val="28"/>
          <w:szCs w:val="28"/>
        </w:rPr>
        <w:t>,</w:t>
      </w:r>
      <w:r w:rsidR="000E3D2C" w:rsidRPr="000E3D2C">
        <w:rPr>
          <w:rFonts w:ascii="Times New Roman" w:hAnsi="Times New Roman"/>
          <w:sz w:val="28"/>
          <w:szCs w:val="28"/>
        </w:rPr>
        <w:t xml:space="preserve"> </w:t>
      </w:r>
      <w:r w:rsidR="000E3D2C">
        <w:rPr>
          <w:rFonts w:ascii="Times New Roman" w:hAnsi="Times New Roman"/>
          <w:sz w:val="28"/>
          <w:szCs w:val="28"/>
        </w:rPr>
        <w:t>inserta</w:t>
      </w:r>
      <w:r w:rsidR="000E3D2C" w:rsidRPr="000E3D2C">
        <w:rPr>
          <w:rFonts w:ascii="Times New Roman" w:hAnsi="Times New Roman"/>
          <w:sz w:val="28"/>
          <w:szCs w:val="28"/>
        </w:rPr>
        <w:t xml:space="preserve"> no artigo 3º da</w:t>
      </w:r>
      <w:r w:rsidR="000E3D2C" w:rsidRPr="000E3D2C">
        <w:rPr>
          <w:rFonts w:ascii="Times New Roman" w:hAnsi="Times New Roman"/>
          <w:b/>
          <w:bCs/>
          <w:sz w:val="28"/>
          <w:szCs w:val="28"/>
        </w:rPr>
        <w:t xml:space="preserve"> Lei Estadual nº 10.298/1994</w:t>
      </w:r>
      <w:r w:rsidR="000E3D2C" w:rsidRPr="000E3D2C">
        <w:rPr>
          <w:rFonts w:ascii="Times New Roman" w:hAnsi="Times New Roman"/>
          <w:sz w:val="28"/>
          <w:szCs w:val="28"/>
        </w:rPr>
        <w:t xml:space="preserve">, </w:t>
      </w:r>
      <w:r w:rsidR="000E3D2C">
        <w:rPr>
          <w:rFonts w:ascii="Times New Roman" w:hAnsi="Times New Roman"/>
          <w:sz w:val="28"/>
          <w:szCs w:val="28"/>
        </w:rPr>
        <w:t>com</w:t>
      </w:r>
      <w:r w:rsidR="000E3D2C" w:rsidRPr="000E3D2C">
        <w:rPr>
          <w:rFonts w:ascii="Times New Roman" w:hAnsi="Times New Roman"/>
          <w:sz w:val="28"/>
          <w:szCs w:val="28"/>
        </w:rPr>
        <w:t xml:space="preserve"> redação dada pela Lei Estadual nº 12.222/2004</w:t>
      </w:r>
      <w:r w:rsidR="000E3D2C">
        <w:rPr>
          <w:rFonts w:ascii="Times New Roman" w:hAnsi="Times New Roman"/>
          <w:sz w:val="28"/>
          <w:szCs w:val="28"/>
        </w:rPr>
        <w:t xml:space="preserve">, e a </w:t>
      </w:r>
      <w:r w:rsidR="000E3D2C" w:rsidRPr="000E3D2C">
        <w:rPr>
          <w:rFonts w:ascii="Times New Roman" w:hAnsi="Times New Roman"/>
          <w:sz w:val="28"/>
          <w:szCs w:val="28"/>
        </w:rPr>
        <w:t>declaração de inconstitucionalidade, por arrastamento, do</w:t>
      </w:r>
      <w:r w:rsidR="000E3D2C">
        <w:rPr>
          <w:rFonts w:ascii="Times New Roman" w:hAnsi="Times New Roman"/>
          <w:sz w:val="28"/>
          <w:szCs w:val="28"/>
        </w:rPr>
        <w:t xml:space="preserve"> </w:t>
      </w:r>
      <w:r w:rsidR="000E3D2C" w:rsidRPr="000E3D2C">
        <w:rPr>
          <w:rFonts w:ascii="Times New Roman" w:hAnsi="Times New Roman"/>
          <w:sz w:val="28"/>
          <w:szCs w:val="28"/>
        </w:rPr>
        <w:t xml:space="preserve">artigo 4º </w:t>
      </w:r>
      <w:r w:rsidR="000E3D2C" w:rsidRPr="008F5723">
        <w:rPr>
          <w:rFonts w:ascii="Times New Roman" w:hAnsi="Times New Roman"/>
          <w:sz w:val="28"/>
          <w:szCs w:val="28"/>
        </w:rPr>
        <w:t xml:space="preserve">do </w:t>
      </w:r>
      <w:r w:rsidR="000E3D2C" w:rsidRPr="000E3D2C">
        <w:rPr>
          <w:rFonts w:ascii="Times New Roman" w:hAnsi="Times New Roman"/>
          <w:b/>
          <w:bCs/>
          <w:sz w:val="28"/>
          <w:szCs w:val="28"/>
        </w:rPr>
        <w:t>Decreto Estadual nº 54.454, de 28 de dezembro de 2018</w:t>
      </w:r>
      <w:r w:rsidR="000E3D2C" w:rsidRPr="000E3D2C">
        <w:rPr>
          <w:rFonts w:ascii="Times New Roman" w:hAnsi="Times New Roman"/>
          <w:sz w:val="28"/>
          <w:szCs w:val="28"/>
        </w:rPr>
        <w:t>, e</w:t>
      </w:r>
      <w:r w:rsidR="000E3D2C">
        <w:rPr>
          <w:rFonts w:ascii="Times New Roman" w:hAnsi="Times New Roman"/>
          <w:sz w:val="28"/>
          <w:szCs w:val="28"/>
        </w:rPr>
        <w:t xml:space="preserve"> </w:t>
      </w:r>
      <w:r w:rsidR="000E3D2C" w:rsidRPr="000E3D2C">
        <w:rPr>
          <w:rFonts w:ascii="Times New Roman" w:hAnsi="Times New Roman"/>
          <w:sz w:val="28"/>
          <w:szCs w:val="28"/>
        </w:rPr>
        <w:t xml:space="preserve">da </w:t>
      </w:r>
      <w:r w:rsidR="000E3D2C" w:rsidRPr="008F5723">
        <w:rPr>
          <w:rFonts w:ascii="Times New Roman" w:hAnsi="Times New Roman"/>
          <w:b/>
          <w:bCs/>
          <w:sz w:val="28"/>
          <w:szCs w:val="28"/>
        </w:rPr>
        <w:t>Resolução nº 151</w:t>
      </w:r>
      <w:r w:rsidR="00444AE9">
        <w:rPr>
          <w:rFonts w:ascii="Times New Roman" w:hAnsi="Times New Roman"/>
          <w:b/>
          <w:bCs/>
          <w:sz w:val="28"/>
          <w:szCs w:val="28"/>
        </w:rPr>
        <w:t xml:space="preserve"> da Procuradoria-Geral do Estado</w:t>
      </w:r>
      <w:r w:rsidR="008F5723">
        <w:rPr>
          <w:rFonts w:ascii="Times New Roman" w:hAnsi="Times New Roman"/>
          <w:b/>
          <w:bCs/>
          <w:sz w:val="28"/>
          <w:szCs w:val="28"/>
        </w:rPr>
        <w:t>,</w:t>
      </w:r>
      <w:r w:rsidR="000E3D2C" w:rsidRPr="008F5723">
        <w:rPr>
          <w:rFonts w:ascii="Times New Roman" w:hAnsi="Times New Roman"/>
          <w:b/>
          <w:bCs/>
          <w:sz w:val="28"/>
          <w:szCs w:val="28"/>
        </w:rPr>
        <w:t xml:space="preserve"> de 04 de abril de 2019</w:t>
      </w:r>
      <w:r w:rsidR="000E3D2C" w:rsidRPr="000E3D2C">
        <w:rPr>
          <w:rFonts w:ascii="Times New Roman" w:hAnsi="Times New Roman"/>
          <w:sz w:val="28"/>
          <w:szCs w:val="28"/>
        </w:rPr>
        <w:t>.</w:t>
      </w:r>
    </w:p>
    <w:p w:rsidR="007F21F0" w:rsidRDefault="008F5723" w:rsidP="007F21F0">
      <w:pPr>
        <w:spacing w:line="360" w:lineRule="auto"/>
        <w:ind w:firstLine="1701"/>
        <w:jc w:val="both"/>
        <w:rPr>
          <w:rFonts w:ascii="Times New Roman" w:hAnsi="Times New Roman"/>
          <w:sz w:val="28"/>
          <w:szCs w:val="28"/>
        </w:rPr>
      </w:pPr>
      <w:r>
        <w:rPr>
          <w:rFonts w:ascii="Times New Roman" w:hAnsi="Times New Roman"/>
          <w:sz w:val="28"/>
          <w:szCs w:val="28"/>
        </w:rPr>
        <w:t>O proponente, inicialmente, apresentou considerações sobre a sua legitimidade para a propositura d</w:t>
      </w:r>
      <w:r w:rsidR="00444AE9">
        <w:rPr>
          <w:rFonts w:ascii="Times New Roman" w:hAnsi="Times New Roman"/>
          <w:sz w:val="28"/>
          <w:szCs w:val="28"/>
        </w:rPr>
        <w:t>a</w:t>
      </w:r>
      <w:r>
        <w:rPr>
          <w:rFonts w:ascii="Times New Roman" w:hAnsi="Times New Roman"/>
          <w:sz w:val="28"/>
          <w:szCs w:val="28"/>
        </w:rPr>
        <w:t xml:space="preserve"> presente </w:t>
      </w:r>
      <w:r w:rsidR="00444AE9">
        <w:rPr>
          <w:rFonts w:ascii="Times New Roman" w:hAnsi="Times New Roman"/>
          <w:sz w:val="28"/>
          <w:szCs w:val="28"/>
        </w:rPr>
        <w:t>ação</w:t>
      </w:r>
      <w:r>
        <w:rPr>
          <w:rFonts w:ascii="Times New Roman" w:hAnsi="Times New Roman"/>
          <w:sz w:val="28"/>
          <w:szCs w:val="28"/>
        </w:rPr>
        <w:t xml:space="preserve">. </w:t>
      </w:r>
      <w:r w:rsidR="008B6A02">
        <w:rPr>
          <w:rFonts w:ascii="Times New Roman" w:hAnsi="Times New Roman"/>
          <w:sz w:val="28"/>
          <w:szCs w:val="28"/>
        </w:rPr>
        <w:t>No mérito, a</w:t>
      </w:r>
      <w:r>
        <w:rPr>
          <w:rFonts w:ascii="Times New Roman" w:hAnsi="Times New Roman"/>
          <w:sz w:val="28"/>
          <w:szCs w:val="28"/>
        </w:rPr>
        <w:t>rgumentou que a Resolução n.º 151/2019</w:t>
      </w:r>
      <w:r w:rsidR="00C56BAC">
        <w:rPr>
          <w:rFonts w:ascii="Times New Roman" w:hAnsi="Times New Roman"/>
          <w:sz w:val="28"/>
          <w:szCs w:val="28"/>
        </w:rPr>
        <w:t>-PGE/RS</w:t>
      </w:r>
      <w:r>
        <w:rPr>
          <w:rFonts w:ascii="Times New Roman" w:hAnsi="Times New Roman"/>
          <w:sz w:val="28"/>
          <w:szCs w:val="28"/>
        </w:rPr>
        <w:t xml:space="preserve"> foi editada com escopo de propiciar a distribuição de honorários de </w:t>
      </w:r>
      <w:r>
        <w:rPr>
          <w:rFonts w:ascii="Times New Roman" w:hAnsi="Times New Roman"/>
          <w:sz w:val="28"/>
          <w:szCs w:val="28"/>
        </w:rPr>
        <w:lastRenderedPageBreak/>
        <w:t>sucumbência em favor de membros da Procuradoria-Geral do Estado. Gizou que, ap</w:t>
      </w:r>
      <w:r w:rsidR="005745B9">
        <w:rPr>
          <w:rFonts w:ascii="Times New Roman" w:hAnsi="Times New Roman"/>
          <w:sz w:val="28"/>
          <w:szCs w:val="28"/>
        </w:rPr>
        <w:t>ós a edição da aludida Resolução, sobreveio discussão quanto à natureza da verba distribuída aos Procuradores do Estado (prêmio de produtividade ou honorários de sucumbência). Sustentou que o teor da Resolução deixa claro que “prêmio de produtividade” é apenas o termo utilizado pela Procuradoria-Geral do Estado para, com lastro na Lei Estadual n.º 10.298/1994, realizar o rateio dos honorários de sucumbência. Afirmou que o próprio Governador do Estado, ao prestar informações ao Supremo Tribunal Federal na Ação Direta de Inconstitucionalidade</w:t>
      </w:r>
      <w:r w:rsidR="00C56BAC">
        <w:rPr>
          <w:rFonts w:ascii="Times New Roman" w:hAnsi="Times New Roman"/>
          <w:sz w:val="28"/>
          <w:szCs w:val="28"/>
        </w:rPr>
        <w:t xml:space="preserve"> (ADI)</w:t>
      </w:r>
      <w:r w:rsidR="005745B9">
        <w:rPr>
          <w:rFonts w:ascii="Times New Roman" w:hAnsi="Times New Roman"/>
          <w:sz w:val="28"/>
          <w:szCs w:val="28"/>
        </w:rPr>
        <w:t xml:space="preserve"> n.º 6.183</w:t>
      </w:r>
      <w:r w:rsidR="00444AE9">
        <w:rPr>
          <w:rFonts w:ascii="Times New Roman" w:hAnsi="Times New Roman"/>
          <w:sz w:val="28"/>
          <w:szCs w:val="28"/>
        </w:rPr>
        <w:t xml:space="preserve"> </w:t>
      </w:r>
      <w:r w:rsidR="005745B9">
        <w:rPr>
          <w:rFonts w:ascii="Times New Roman" w:hAnsi="Times New Roman"/>
          <w:sz w:val="28"/>
          <w:szCs w:val="28"/>
        </w:rPr>
        <w:t>- proposta pela Procuradoria-Geral do Estado com objetivo de questionar a compatibilidade entre o pagamento de honorários de sucumbência a advogados públicos e o regime constitucional dos subsídios</w:t>
      </w:r>
      <w:r w:rsidR="00444AE9">
        <w:rPr>
          <w:rFonts w:ascii="Times New Roman" w:hAnsi="Times New Roman"/>
          <w:sz w:val="28"/>
          <w:szCs w:val="28"/>
        </w:rPr>
        <w:t xml:space="preserve"> </w:t>
      </w:r>
      <w:r w:rsidR="005745B9">
        <w:rPr>
          <w:rFonts w:ascii="Times New Roman" w:hAnsi="Times New Roman"/>
          <w:sz w:val="28"/>
          <w:szCs w:val="28"/>
        </w:rPr>
        <w:t xml:space="preserve">-, </w:t>
      </w:r>
      <w:r w:rsidR="00C56BAC">
        <w:rPr>
          <w:rFonts w:ascii="Times New Roman" w:hAnsi="Times New Roman"/>
          <w:sz w:val="28"/>
          <w:szCs w:val="28"/>
        </w:rPr>
        <w:t>confirmou</w:t>
      </w:r>
      <w:r w:rsidR="005745B9">
        <w:rPr>
          <w:rFonts w:ascii="Times New Roman" w:hAnsi="Times New Roman"/>
          <w:sz w:val="28"/>
          <w:szCs w:val="28"/>
        </w:rPr>
        <w:t xml:space="preserve"> se tratar o prêmio </w:t>
      </w:r>
      <w:r w:rsidR="00C56BAC">
        <w:rPr>
          <w:rFonts w:ascii="Times New Roman" w:hAnsi="Times New Roman"/>
          <w:sz w:val="28"/>
          <w:szCs w:val="28"/>
        </w:rPr>
        <w:t>de produtividade de um mecanismo legal de distribuição de honorários sucumbenciais. Ponderou que o objeto do presente feito não se confunde com o da ADI n.º 6.183, porquanto neste feito não se pretende discutir o regime de subsídios previsto na Constituição Federal. Relatou que a Assembleia Legislativa do Estado do Rio Grande do Sul</w:t>
      </w:r>
      <w:r w:rsidR="00AB4138">
        <w:rPr>
          <w:rFonts w:ascii="Times New Roman" w:hAnsi="Times New Roman"/>
          <w:sz w:val="28"/>
          <w:szCs w:val="28"/>
        </w:rPr>
        <w:t xml:space="preserve"> </w:t>
      </w:r>
      <w:r w:rsidR="00C56BAC">
        <w:rPr>
          <w:rFonts w:ascii="Times New Roman" w:hAnsi="Times New Roman"/>
          <w:sz w:val="28"/>
          <w:szCs w:val="28"/>
        </w:rPr>
        <w:t>editou o Decreto Legislativo n.º 11.219/2019, o qual sustou a</w:t>
      </w:r>
      <w:r w:rsidR="00444AE9">
        <w:rPr>
          <w:rFonts w:ascii="Times New Roman" w:hAnsi="Times New Roman"/>
          <w:sz w:val="28"/>
          <w:szCs w:val="28"/>
        </w:rPr>
        <w:t xml:space="preserve"> vigência da</w:t>
      </w:r>
      <w:r w:rsidR="00C56BAC">
        <w:rPr>
          <w:rFonts w:ascii="Times New Roman" w:hAnsi="Times New Roman"/>
          <w:sz w:val="28"/>
          <w:szCs w:val="28"/>
        </w:rPr>
        <w:t xml:space="preserve"> Resolução n.º 151/2019-PGE/RS</w:t>
      </w:r>
      <w:r w:rsidR="00057C8C">
        <w:rPr>
          <w:rFonts w:ascii="Times New Roman" w:hAnsi="Times New Roman"/>
          <w:sz w:val="28"/>
          <w:szCs w:val="28"/>
        </w:rPr>
        <w:t xml:space="preserve">, por entender que o Poder Executivo teria exorbitado </w:t>
      </w:r>
      <w:r w:rsidR="00444AE9">
        <w:rPr>
          <w:rFonts w:ascii="Times New Roman" w:hAnsi="Times New Roman"/>
          <w:sz w:val="28"/>
          <w:szCs w:val="28"/>
        </w:rPr>
        <w:t>seu</w:t>
      </w:r>
      <w:r w:rsidR="00057C8C">
        <w:rPr>
          <w:rFonts w:ascii="Times New Roman" w:hAnsi="Times New Roman"/>
          <w:sz w:val="28"/>
          <w:szCs w:val="28"/>
        </w:rPr>
        <w:t xml:space="preserve"> poder regulamentar.</w:t>
      </w:r>
      <w:r w:rsidR="00D63E8E">
        <w:rPr>
          <w:rFonts w:ascii="Times New Roman" w:hAnsi="Times New Roman"/>
          <w:sz w:val="28"/>
          <w:szCs w:val="28"/>
        </w:rPr>
        <w:t xml:space="preserve"> Asseverou que </w:t>
      </w:r>
      <w:r w:rsidR="0048637B">
        <w:rPr>
          <w:rFonts w:ascii="Times New Roman" w:hAnsi="Times New Roman"/>
          <w:sz w:val="28"/>
          <w:szCs w:val="28"/>
        </w:rPr>
        <w:t xml:space="preserve">referido Decreto </w:t>
      </w:r>
      <w:r w:rsidR="005A4625">
        <w:rPr>
          <w:rFonts w:ascii="Times New Roman" w:hAnsi="Times New Roman"/>
          <w:sz w:val="28"/>
          <w:szCs w:val="28"/>
        </w:rPr>
        <w:t xml:space="preserve">foi declarado inconstitucional pelo Tribunal de Justiça do Rio Grande do Sul. </w:t>
      </w:r>
      <w:r w:rsidR="00863BE0">
        <w:rPr>
          <w:rFonts w:ascii="Times New Roman" w:hAnsi="Times New Roman"/>
          <w:sz w:val="28"/>
          <w:szCs w:val="28"/>
        </w:rPr>
        <w:t>Afirmou que</w:t>
      </w:r>
      <w:r w:rsidR="00E84199">
        <w:rPr>
          <w:rFonts w:ascii="Times New Roman" w:hAnsi="Times New Roman"/>
          <w:sz w:val="28"/>
          <w:szCs w:val="28"/>
        </w:rPr>
        <w:t xml:space="preserve"> a pretensão vertida neste feito tem fundamento diverso, estando ancorada na </w:t>
      </w:r>
      <w:r w:rsidR="00542624">
        <w:rPr>
          <w:rFonts w:ascii="Times New Roman" w:hAnsi="Times New Roman"/>
          <w:sz w:val="28"/>
          <w:szCs w:val="28"/>
        </w:rPr>
        <w:t xml:space="preserve">premissa de que </w:t>
      </w:r>
      <w:r w:rsidR="00542624">
        <w:rPr>
          <w:rFonts w:ascii="Times New Roman" w:hAnsi="Times New Roman"/>
          <w:sz w:val="28"/>
          <w:szCs w:val="28"/>
        </w:rPr>
        <w:lastRenderedPageBreak/>
        <w:t xml:space="preserve">a </w:t>
      </w:r>
      <w:r w:rsidR="00580E84">
        <w:rPr>
          <w:rFonts w:ascii="Times New Roman" w:hAnsi="Times New Roman"/>
          <w:sz w:val="28"/>
          <w:szCs w:val="28"/>
        </w:rPr>
        <w:t>Resolução n.º 151/2019-PGE/RS</w:t>
      </w:r>
      <w:r w:rsidR="00246E98">
        <w:rPr>
          <w:rFonts w:ascii="Times New Roman" w:hAnsi="Times New Roman"/>
          <w:sz w:val="28"/>
          <w:szCs w:val="28"/>
        </w:rPr>
        <w:t xml:space="preserve"> foi elaborada a partir de</w:t>
      </w:r>
      <w:r w:rsidR="00542624">
        <w:rPr>
          <w:rFonts w:ascii="Times New Roman" w:hAnsi="Times New Roman"/>
          <w:sz w:val="28"/>
          <w:szCs w:val="28"/>
        </w:rPr>
        <w:t xml:space="preserve"> interpretação do </w:t>
      </w:r>
      <w:r w:rsidR="00D679F8">
        <w:rPr>
          <w:rFonts w:ascii="Times New Roman" w:hAnsi="Times New Roman"/>
          <w:sz w:val="28"/>
          <w:szCs w:val="28"/>
        </w:rPr>
        <w:t>disposto no artigo 3º da</w:t>
      </w:r>
      <w:r w:rsidR="00542624">
        <w:rPr>
          <w:rFonts w:ascii="Times New Roman" w:hAnsi="Times New Roman"/>
          <w:sz w:val="28"/>
          <w:szCs w:val="28"/>
        </w:rPr>
        <w:t xml:space="preserve"> Lei Estadual n.º 10.298/1994</w:t>
      </w:r>
      <w:r w:rsidR="00541E95">
        <w:rPr>
          <w:rFonts w:ascii="Times New Roman" w:hAnsi="Times New Roman"/>
          <w:sz w:val="28"/>
          <w:szCs w:val="28"/>
        </w:rPr>
        <w:t>, com a redação conferida pela Lei Estadual n.º 12.222/2004</w:t>
      </w:r>
      <w:r w:rsidR="00246E98">
        <w:rPr>
          <w:rFonts w:ascii="Times New Roman" w:hAnsi="Times New Roman"/>
          <w:sz w:val="28"/>
          <w:szCs w:val="28"/>
        </w:rPr>
        <w:t>, que não se harmoniza com os ditames constitucionais</w:t>
      </w:r>
      <w:r w:rsidR="00580E84">
        <w:rPr>
          <w:rFonts w:ascii="Times New Roman" w:hAnsi="Times New Roman"/>
          <w:sz w:val="28"/>
          <w:szCs w:val="28"/>
        </w:rPr>
        <w:t>.</w:t>
      </w:r>
      <w:r w:rsidR="00542624">
        <w:rPr>
          <w:rFonts w:ascii="Times New Roman" w:hAnsi="Times New Roman"/>
          <w:sz w:val="28"/>
          <w:szCs w:val="28"/>
        </w:rPr>
        <w:t xml:space="preserve"> </w:t>
      </w:r>
      <w:r w:rsidR="00CC2F39">
        <w:rPr>
          <w:rFonts w:ascii="Times New Roman" w:hAnsi="Times New Roman"/>
          <w:sz w:val="28"/>
          <w:szCs w:val="28"/>
        </w:rPr>
        <w:t>Aduziu que a expressão “prêmio de produtividade” não possui qualquer relação com a distribuição de honorários de sucumbência aos advogados públicos</w:t>
      </w:r>
      <w:r w:rsidR="00C6764C">
        <w:rPr>
          <w:rFonts w:ascii="Times New Roman" w:hAnsi="Times New Roman"/>
          <w:sz w:val="28"/>
          <w:szCs w:val="28"/>
        </w:rPr>
        <w:t xml:space="preserve">, </w:t>
      </w:r>
      <w:r w:rsidR="004C5FF2">
        <w:rPr>
          <w:rFonts w:ascii="Times New Roman" w:hAnsi="Times New Roman"/>
          <w:sz w:val="28"/>
          <w:szCs w:val="28"/>
        </w:rPr>
        <w:t xml:space="preserve">uma </w:t>
      </w:r>
      <w:r w:rsidR="00C6764C">
        <w:rPr>
          <w:rFonts w:ascii="Times New Roman" w:hAnsi="Times New Roman"/>
          <w:sz w:val="28"/>
          <w:szCs w:val="28"/>
        </w:rPr>
        <w:t>vez que a mencionada lei estadual trata do Fundo de Reaparelhamento da Procuradoria-Geral do Estado</w:t>
      </w:r>
      <w:r w:rsidR="00A10556">
        <w:rPr>
          <w:rFonts w:ascii="Times New Roman" w:hAnsi="Times New Roman"/>
          <w:sz w:val="28"/>
          <w:szCs w:val="28"/>
        </w:rPr>
        <w:t xml:space="preserve"> (FURPGE)</w:t>
      </w:r>
      <w:r w:rsidR="00C06E3F">
        <w:rPr>
          <w:rFonts w:ascii="Times New Roman" w:hAnsi="Times New Roman"/>
          <w:sz w:val="28"/>
          <w:szCs w:val="28"/>
        </w:rPr>
        <w:t>. Destacou que</w:t>
      </w:r>
      <w:r w:rsidR="00BA6CB7">
        <w:rPr>
          <w:rFonts w:ascii="Times New Roman" w:hAnsi="Times New Roman"/>
          <w:sz w:val="28"/>
          <w:szCs w:val="28"/>
        </w:rPr>
        <w:t xml:space="preserve"> o fato</w:t>
      </w:r>
      <w:r w:rsidR="00C06E3F">
        <w:rPr>
          <w:rFonts w:ascii="Times New Roman" w:hAnsi="Times New Roman"/>
          <w:sz w:val="28"/>
          <w:szCs w:val="28"/>
        </w:rPr>
        <w:t xml:space="preserve"> </w:t>
      </w:r>
      <w:r w:rsidR="0051662C">
        <w:rPr>
          <w:rFonts w:ascii="Times New Roman" w:hAnsi="Times New Roman"/>
          <w:sz w:val="28"/>
          <w:szCs w:val="28"/>
        </w:rPr>
        <w:t>d</w:t>
      </w:r>
      <w:r w:rsidR="006B7D4E">
        <w:rPr>
          <w:rFonts w:ascii="Times New Roman" w:hAnsi="Times New Roman"/>
          <w:sz w:val="28"/>
          <w:szCs w:val="28"/>
        </w:rPr>
        <w:t>e o</w:t>
      </w:r>
      <w:r w:rsidR="00C06E3F">
        <w:rPr>
          <w:rFonts w:ascii="Times New Roman" w:hAnsi="Times New Roman"/>
          <w:sz w:val="28"/>
          <w:szCs w:val="28"/>
        </w:rPr>
        <w:t xml:space="preserve"> </w:t>
      </w:r>
      <w:r w:rsidR="00A10556">
        <w:rPr>
          <w:rFonts w:ascii="Times New Roman" w:hAnsi="Times New Roman"/>
          <w:sz w:val="28"/>
          <w:szCs w:val="28"/>
        </w:rPr>
        <w:t>FURPGE</w:t>
      </w:r>
      <w:r w:rsidR="006B7D4E">
        <w:rPr>
          <w:rFonts w:ascii="Times New Roman" w:hAnsi="Times New Roman"/>
          <w:sz w:val="28"/>
          <w:szCs w:val="28"/>
        </w:rPr>
        <w:t xml:space="preserve"> </w:t>
      </w:r>
      <w:r w:rsidR="0091177E">
        <w:rPr>
          <w:rFonts w:ascii="Times New Roman" w:hAnsi="Times New Roman"/>
          <w:sz w:val="28"/>
          <w:szCs w:val="28"/>
        </w:rPr>
        <w:t>ser mantido</w:t>
      </w:r>
      <w:r w:rsidR="009C2E22">
        <w:rPr>
          <w:rFonts w:ascii="Times New Roman" w:hAnsi="Times New Roman"/>
          <w:sz w:val="28"/>
          <w:szCs w:val="28"/>
        </w:rPr>
        <w:t>, dentre outras fontes,</w:t>
      </w:r>
      <w:r w:rsidR="0091177E">
        <w:rPr>
          <w:rFonts w:ascii="Times New Roman" w:hAnsi="Times New Roman"/>
          <w:sz w:val="28"/>
          <w:szCs w:val="28"/>
        </w:rPr>
        <w:t xml:space="preserve"> pelos recursos oriundos das verbas honorárias sucumbenciais, </w:t>
      </w:r>
      <w:r w:rsidR="00B45229">
        <w:rPr>
          <w:rFonts w:ascii="Times New Roman" w:hAnsi="Times New Roman"/>
          <w:sz w:val="28"/>
          <w:szCs w:val="28"/>
        </w:rPr>
        <w:t xml:space="preserve">não </w:t>
      </w:r>
      <w:r w:rsidR="00481C9B">
        <w:rPr>
          <w:rFonts w:ascii="Times New Roman" w:hAnsi="Times New Roman"/>
          <w:sz w:val="28"/>
          <w:szCs w:val="28"/>
        </w:rPr>
        <w:t>autoriza</w:t>
      </w:r>
      <w:r w:rsidR="00B45229">
        <w:rPr>
          <w:rFonts w:ascii="Times New Roman" w:hAnsi="Times New Roman"/>
          <w:sz w:val="28"/>
          <w:szCs w:val="28"/>
        </w:rPr>
        <w:t xml:space="preserve"> a conclusão de que </w:t>
      </w:r>
      <w:r w:rsidR="00381C8B">
        <w:rPr>
          <w:rFonts w:ascii="Times New Roman" w:hAnsi="Times New Roman"/>
          <w:sz w:val="28"/>
          <w:szCs w:val="28"/>
        </w:rPr>
        <w:t xml:space="preserve">esses valores possam ser direcionados </w:t>
      </w:r>
      <w:r w:rsidR="00B17330">
        <w:rPr>
          <w:rFonts w:ascii="Times New Roman" w:hAnsi="Times New Roman"/>
          <w:sz w:val="28"/>
          <w:szCs w:val="28"/>
        </w:rPr>
        <w:t>aos advogados públicos</w:t>
      </w:r>
      <w:r w:rsidR="00776B13">
        <w:rPr>
          <w:rFonts w:ascii="Times New Roman" w:hAnsi="Times New Roman"/>
          <w:sz w:val="28"/>
          <w:szCs w:val="28"/>
        </w:rPr>
        <w:t xml:space="preserve">, já que </w:t>
      </w:r>
      <w:r w:rsidR="00F60C45">
        <w:rPr>
          <w:rFonts w:ascii="Times New Roman" w:hAnsi="Times New Roman"/>
          <w:sz w:val="28"/>
          <w:szCs w:val="28"/>
        </w:rPr>
        <w:t xml:space="preserve">não </w:t>
      </w:r>
      <w:r w:rsidR="009C2E22">
        <w:rPr>
          <w:rFonts w:ascii="Times New Roman" w:hAnsi="Times New Roman"/>
          <w:sz w:val="28"/>
          <w:szCs w:val="28"/>
        </w:rPr>
        <w:t>é razoável</w:t>
      </w:r>
      <w:r w:rsidR="00F60C45">
        <w:rPr>
          <w:rFonts w:ascii="Times New Roman" w:hAnsi="Times New Roman"/>
          <w:sz w:val="28"/>
          <w:szCs w:val="28"/>
        </w:rPr>
        <w:t xml:space="preserve"> cogitar que o </w:t>
      </w:r>
      <w:r w:rsidR="00776B13">
        <w:rPr>
          <w:rFonts w:ascii="Times New Roman" w:hAnsi="Times New Roman"/>
          <w:sz w:val="28"/>
          <w:szCs w:val="28"/>
        </w:rPr>
        <w:t>legislador estadual</w:t>
      </w:r>
      <w:r w:rsidR="00F60C45">
        <w:rPr>
          <w:rFonts w:ascii="Times New Roman" w:hAnsi="Times New Roman"/>
          <w:sz w:val="28"/>
          <w:szCs w:val="28"/>
        </w:rPr>
        <w:t xml:space="preserve">, </w:t>
      </w:r>
      <w:r w:rsidR="00D75483">
        <w:rPr>
          <w:rFonts w:ascii="Times New Roman" w:hAnsi="Times New Roman"/>
          <w:sz w:val="28"/>
          <w:szCs w:val="28"/>
        </w:rPr>
        <w:t xml:space="preserve">quando editou </w:t>
      </w:r>
      <w:r w:rsidR="00541E95">
        <w:rPr>
          <w:rFonts w:ascii="Times New Roman" w:hAnsi="Times New Roman"/>
          <w:sz w:val="28"/>
          <w:szCs w:val="28"/>
        </w:rPr>
        <w:t>o ato normativo em comento</w:t>
      </w:r>
      <w:r w:rsidR="00D75483">
        <w:rPr>
          <w:rFonts w:ascii="Times New Roman" w:hAnsi="Times New Roman"/>
          <w:sz w:val="28"/>
          <w:szCs w:val="28"/>
        </w:rPr>
        <w:t xml:space="preserve">, </w:t>
      </w:r>
      <w:r w:rsidR="00F60C45">
        <w:rPr>
          <w:rFonts w:ascii="Times New Roman" w:hAnsi="Times New Roman"/>
          <w:sz w:val="28"/>
          <w:szCs w:val="28"/>
        </w:rPr>
        <w:t xml:space="preserve">muito antes do advento </w:t>
      </w:r>
      <w:r w:rsidR="00152DD1">
        <w:rPr>
          <w:rFonts w:ascii="Times New Roman" w:hAnsi="Times New Roman"/>
          <w:sz w:val="28"/>
          <w:szCs w:val="28"/>
        </w:rPr>
        <w:t xml:space="preserve">do Código de Processo Civil de 2015, pretendesse </w:t>
      </w:r>
      <w:r w:rsidR="00E12A4E">
        <w:rPr>
          <w:rFonts w:ascii="Times New Roman" w:hAnsi="Times New Roman"/>
          <w:sz w:val="28"/>
          <w:szCs w:val="28"/>
        </w:rPr>
        <w:t xml:space="preserve">que o “prêmio de produtividade” </w:t>
      </w:r>
      <w:r w:rsidR="009E54A3">
        <w:rPr>
          <w:rFonts w:ascii="Times New Roman" w:hAnsi="Times New Roman"/>
          <w:sz w:val="28"/>
          <w:szCs w:val="28"/>
        </w:rPr>
        <w:t>tivesse</w:t>
      </w:r>
      <w:r w:rsidR="00E12A4E">
        <w:rPr>
          <w:rFonts w:ascii="Times New Roman" w:hAnsi="Times New Roman"/>
          <w:sz w:val="28"/>
          <w:szCs w:val="28"/>
        </w:rPr>
        <w:t xml:space="preserve"> </w:t>
      </w:r>
      <w:r w:rsidR="009E54A3">
        <w:rPr>
          <w:rFonts w:ascii="Times New Roman" w:hAnsi="Times New Roman"/>
          <w:sz w:val="28"/>
          <w:szCs w:val="28"/>
        </w:rPr>
        <w:t>finalidade</w:t>
      </w:r>
      <w:r w:rsidR="00D75483">
        <w:rPr>
          <w:rFonts w:ascii="Times New Roman" w:hAnsi="Times New Roman"/>
          <w:sz w:val="28"/>
          <w:szCs w:val="28"/>
        </w:rPr>
        <w:t xml:space="preserve"> que não era sequer previst</w:t>
      </w:r>
      <w:r w:rsidR="009E54A3">
        <w:rPr>
          <w:rFonts w:ascii="Times New Roman" w:hAnsi="Times New Roman"/>
          <w:sz w:val="28"/>
          <w:szCs w:val="28"/>
        </w:rPr>
        <w:t>a</w:t>
      </w:r>
      <w:r w:rsidR="00D75483">
        <w:rPr>
          <w:rFonts w:ascii="Times New Roman" w:hAnsi="Times New Roman"/>
          <w:sz w:val="28"/>
          <w:szCs w:val="28"/>
        </w:rPr>
        <w:t xml:space="preserve"> no ordenamento jurídico</w:t>
      </w:r>
      <w:r w:rsidR="00B17330">
        <w:rPr>
          <w:rFonts w:ascii="Times New Roman" w:hAnsi="Times New Roman"/>
          <w:sz w:val="28"/>
          <w:szCs w:val="28"/>
        </w:rPr>
        <w:t xml:space="preserve">. </w:t>
      </w:r>
      <w:r w:rsidR="00560918">
        <w:rPr>
          <w:rFonts w:ascii="Times New Roman" w:hAnsi="Times New Roman"/>
          <w:sz w:val="28"/>
          <w:szCs w:val="28"/>
        </w:rPr>
        <w:t xml:space="preserve">Arrazoou que a expressão “prêmio de produtividade” foi </w:t>
      </w:r>
      <w:r w:rsidR="00B101BA">
        <w:rPr>
          <w:rFonts w:ascii="Times New Roman" w:hAnsi="Times New Roman"/>
          <w:sz w:val="28"/>
          <w:szCs w:val="28"/>
        </w:rPr>
        <w:t xml:space="preserve">inserida no direito brasileiro no contexto da Emenda Constitucional n.º 19/98, que </w:t>
      </w:r>
      <w:proofErr w:type="gramStart"/>
      <w:r w:rsidR="00B101BA">
        <w:rPr>
          <w:rFonts w:ascii="Times New Roman" w:hAnsi="Times New Roman"/>
          <w:sz w:val="28"/>
          <w:szCs w:val="28"/>
        </w:rPr>
        <w:t>implementou</w:t>
      </w:r>
      <w:proofErr w:type="gramEnd"/>
      <w:r w:rsidR="00B101BA">
        <w:rPr>
          <w:rFonts w:ascii="Times New Roman" w:hAnsi="Times New Roman"/>
          <w:sz w:val="28"/>
          <w:szCs w:val="28"/>
        </w:rPr>
        <w:t xml:space="preserve"> reforma administrativa, objetivando a modernização</w:t>
      </w:r>
      <w:r w:rsidR="00E3330A">
        <w:rPr>
          <w:rFonts w:ascii="Times New Roman" w:hAnsi="Times New Roman"/>
          <w:sz w:val="28"/>
          <w:szCs w:val="28"/>
        </w:rPr>
        <w:t xml:space="preserve">, </w:t>
      </w:r>
      <w:r w:rsidR="00B101BA">
        <w:rPr>
          <w:rFonts w:ascii="Times New Roman" w:hAnsi="Times New Roman"/>
          <w:sz w:val="28"/>
          <w:szCs w:val="28"/>
        </w:rPr>
        <w:t>reaparelhamento</w:t>
      </w:r>
      <w:r w:rsidR="00E3330A">
        <w:rPr>
          <w:rFonts w:ascii="Times New Roman" w:hAnsi="Times New Roman"/>
          <w:sz w:val="28"/>
          <w:szCs w:val="28"/>
        </w:rPr>
        <w:t xml:space="preserve"> e modernização do serviço público.</w:t>
      </w:r>
      <w:r w:rsidR="00965229">
        <w:rPr>
          <w:rFonts w:ascii="Times New Roman" w:hAnsi="Times New Roman"/>
          <w:sz w:val="28"/>
          <w:szCs w:val="28"/>
        </w:rPr>
        <w:t xml:space="preserve"> Esclareceu que o objeto desta </w:t>
      </w:r>
      <w:r w:rsidR="004C5FF2">
        <w:rPr>
          <w:rFonts w:ascii="Times New Roman" w:hAnsi="Times New Roman"/>
          <w:sz w:val="28"/>
          <w:szCs w:val="28"/>
        </w:rPr>
        <w:t>a</w:t>
      </w:r>
      <w:r w:rsidR="00965229">
        <w:rPr>
          <w:rFonts w:ascii="Times New Roman" w:hAnsi="Times New Roman"/>
          <w:sz w:val="28"/>
          <w:szCs w:val="28"/>
        </w:rPr>
        <w:t xml:space="preserve">ção </w:t>
      </w:r>
      <w:r w:rsidR="004C5FF2">
        <w:rPr>
          <w:rFonts w:ascii="Times New Roman" w:hAnsi="Times New Roman"/>
          <w:sz w:val="28"/>
          <w:szCs w:val="28"/>
        </w:rPr>
        <w:t>d</w:t>
      </w:r>
      <w:r w:rsidR="00965229">
        <w:rPr>
          <w:rFonts w:ascii="Times New Roman" w:hAnsi="Times New Roman"/>
          <w:sz w:val="28"/>
          <w:szCs w:val="28"/>
        </w:rPr>
        <w:t>ireta é a interpretação da expressão “prêmio de produtividade”, constante do artigo 3º da Lei Estadual n.º 10.298/1994</w:t>
      </w:r>
      <w:r w:rsidR="00CC18FA">
        <w:rPr>
          <w:rFonts w:ascii="Times New Roman" w:hAnsi="Times New Roman"/>
          <w:sz w:val="28"/>
          <w:szCs w:val="28"/>
        </w:rPr>
        <w:t>, como</w:t>
      </w:r>
      <w:r w:rsidR="004C5FF2">
        <w:rPr>
          <w:rFonts w:ascii="Times New Roman" w:hAnsi="Times New Roman"/>
          <w:sz w:val="28"/>
          <w:szCs w:val="28"/>
        </w:rPr>
        <w:t xml:space="preserve"> fator de legitimação da</w:t>
      </w:r>
      <w:r w:rsidR="00CC18FA">
        <w:rPr>
          <w:rFonts w:ascii="Times New Roman" w:hAnsi="Times New Roman"/>
          <w:sz w:val="28"/>
          <w:szCs w:val="28"/>
        </w:rPr>
        <w:t xml:space="preserve"> distribuição de honorários </w:t>
      </w:r>
      <w:proofErr w:type="spellStart"/>
      <w:r w:rsidR="004C5FF2">
        <w:rPr>
          <w:rFonts w:ascii="Times New Roman" w:hAnsi="Times New Roman"/>
          <w:sz w:val="28"/>
          <w:szCs w:val="28"/>
        </w:rPr>
        <w:t>sucumbenciais</w:t>
      </w:r>
      <w:proofErr w:type="spellEnd"/>
      <w:r w:rsidR="00CC18FA">
        <w:rPr>
          <w:rFonts w:ascii="Times New Roman" w:hAnsi="Times New Roman"/>
          <w:sz w:val="28"/>
          <w:szCs w:val="28"/>
        </w:rPr>
        <w:t xml:space="preserve"> aos Procuradores do Estado.</w:t>
      </w:r>
      <w:r w:rsidR="00712957">
        <w:rPr>
          <w:rFonts w:ascii="Times New Roman" w:hAnsi="Times New Roman"/>
          <w:sz w:val="28"/>
          <w:szCs w:val="28"/>
        </w:rPr>
        <w:t xml:space="preserve"> Defendeu que essa linha de intelecção viola </w:t>
      </w:r>
      <w:r w:rsidR="00712957">
        <w:rPr>
          <w:rFonts w:ascii="Times New Roman" w:hAnsi="Times New Roman"/>
          <w:sz w:val="28"/>
          <w:szCs w:val="28"/>
        </w:rPr>
        <w:lastRenderedPageBreak/>
        <w:t xml:space="preserve">frontalmente o artigo 116, §2º, inciso I, da Constituição do Estado do Rio Grande do Sul, que veda </w:t>
      </w:r>
      <w:r w:rsidR="00C25952">
        <w:rPr>
          <w:rFonts w:ascii="Times New Roman" w:hAnsi="Times New Roman"/>
          <w:sz w:val="28"/>
          <w:szCs w:val="28"/>
        </w:rPr>
        <w:t xml:space="preserve">aos Procuradores do Estado o recebimento de honorários.  </w:t>
      </w:r>
      <w:r w:rsidR="00135D05">
        <w:rPr>
          <w:rFonts w:ascii="Times New Roman" w:hAnsi="Times New Roman"/>
          <w:sz w:val="28"/>
          <w:szCs w:val="28"/>
        </w:rPr>
        <w:t xml:space="preserve">Referiu que a jurisprudência do Tribunal de Justiça </w:t>
      </w:r>
      <w:r w:rsidR="009E77AF">
        <w:rPr>
          <w:rFonts w:ascii="Times New Roman" w:hAnsi="Times New Roman"/>
          <w:sz w:val="28"/>
          <w:szCs w:val="28"/>
        </w:rPr>
        <w:t xml:space="preserve">sempre </w:t>
      </w:r>
      <w:r w:rsidR="00F943D6">
        <w:rPr>
          <w:rFonts w:ascii="Times New Roman" w:hAnsi="Times New Roman"/>
          <w:sz w:val="28"/>
          <w:szCs w:val="28"/>
        </w:rPr>
        <w:t xml:space="preserve">se posicionou pela </w:t>
      </w:r>
      <w:r w:rsidR="009E77AF">
        <w:rPr>
          <w:rFonts w:ascii="Times New Roman" w:hAnsi="Times New Roman"/>
          <w:sz w:val="28"/>
          <w:szCs w:val="28"/>
        </w:rPr>
        <w:t xml:space="preserve">destinação das verbas sucumbenciais ao </w:t>
      </w:r>
      <w:r w:rsidR="00AC0612">
        <w:rPr>
          <w:rFonts w:ascii="Times New Roman" w:hAnsi="Times New Roman"/>
          <w:sz w:val="28"/>
          <w:szCs w:val="28"/>
        </w:rPr>
        <w:t>FURPGE</w:t>
      </w:r>
      <w:r w:rsidR="00F943D6">
        <w:rPr>
          <w:rFonts w:ascii="Times New Roman" w:hAnsi="Times New Roman"/>
          <w:sz w:val="28"/>
          <w:szCs w:val="28"/>
        </w:rPr>
        <w:t>, e</w:t>
      </w:r>
      <w:r w:rsidR="00AC0612">
        <w:rPr>
          <w:rFonts w:ascii="Times New Roman" w:hAnsi="Times New Roman"/>
          <w:sz w:val="28"/>
          <w:szCs w:val="28"/>
        </w:rPr>
        <w:t xml:space="preserve"> não </w:t>
      </w:r>
      <w:r w:rsidR="00F943D6">
        <w:rPr>
          <w:rFonts w:ascii="Times New Roman" w:hAnsi="Times New Roman"/>
          <w:sz w:val="28"/>
          <w:szCs w:val="28"/>
        </w:rPr>
        <w:t>aos Procuradores do Estado</w:t>
      </w:r>
      <w:r w:rsidR="00C1057C">
        <w:rPr>
          <w:rFonts w:ascii="Times New Roman" w:hAnsi="Times New Roman"/>
          <w:sz w:val="28"/>
          <w:szCs w:val="28"/>
        </w:rPr>
        <w:t>.</w:t>
      </w:r>
      <w:r w:rsidR="00C66D48">
        <w:rPr>
          <w:rFonts w:ascii="Times New Roman" w:hAnsi="Times New Roman"/>
          <w:sz w:val="28"/>
          <w:szCs w:val="28"/>
        </w:rPr>
        <w:t xml:space="preserve"> Ressaltou que </w:t>
      </w:r>
      <w:r w:rsidR="00F50C13">
        <w:rPr>
          <w:rFonts w:ascii="Times New Roman" w:hAnsi="Times New Roman"/>
          <w:sz w:val="28"/>
          <w:szCs w:val="28"/>
        </w:rPr>
        <w:t>o advento do artigo 85</w:t>
      </w:r>
      <w:r w:rsidR="00472E7C">
        <w:rPr>
          <w:rFonts w:ascii="Times New Roman" w:hAnsi="Times New Roman"/>
          <w:sz w:val="28"/>
          <w:szCs w:val="28"/>
        </w:rPr>
        <w:t>,</w:t>
      </w:r>
      <w:r w:rsidR="006774D2">
        <w:rPr>
          <w:rFonts w:ascii="Times New Roman" w:hAnsi="Times New Roman"/>
          <w:sz w:val="28"/>
          <w:szCs w:val="28"/>
        </w:rPr>
        <w:t xml:space="preserve"> </w:t>
      </w:r>
      <w:r w:rsidR="00F50C13">
        <w:rPr>
          <w:rFonts w:ascii="Times New Roman" w:hAnsi="Times New Roman"/>
          <w:sz w:val="28"/>
          <w:szCs w:val="28"/>
        </w:rPr>
        <w:t>§</w:t>
      </w:r>
      <w:r w:rsidR="004C5FF2">
        <w:rPr>
          <w:rFonts w:ascii="Times New Roman" w:hAnsi="Times New Roman"/>
          <w:sz w:val="28"/>
          <w:szCs w:val="28"/>
        </w:rPr>
        <w:t xml:space="preserve"> </w:t>
      </w:r>
      <w:r w:rsidR="00F50C13">
        <w:rPr>
          <w:rFonts w:ascii="Times New Roman" w:hAnsi="Times New Roman"/>
          <w:sz w:val="28"/>
          <w:szCs w:val="28"/>
        </w:rPr>
        <w:t>19, do Código de Processo Civil</w:t>
      </w:r>
      <w:r w:rsidR="00D842C8">
        <w:rPr>
          <w:rFonts w:ascii="Times New Roman" w:hAnsi="Times New Roman"/>
          <w:sz w:val="28"/>
          <w:szCs w:val="28"/>
        </w:rPr>
        <w:t xml:space="preserve"> atualmente em vigor</w:t>
      </w:r>
      <w:r w:rsidR="001C6C1B">
        <w:rPr>
          <w:rFonts w:ascii="Times New Roman" w:hAnsi="Times New Roman"/>
          <w:sz w:val="28"/>
          <w:szCs w:val="28"/>
        </w:rPr>
        <w:t>,</w:t>
      </w:r>
      <w:r w:rsidR="00D842C8">
        <w:rPr>
          <w:rFonts w:ascii="Times New Roman" w:hAnsi="Times New Roman"/>
          <w:sz w:val="28"/>
          <w:szCs w:val="28"/>
        </w:rPr>
        <w:t xml:space="preserve"> em nada modifica o entendimento pela impossibilidade do pagamento de honorários em favor dos Procuradores do Estado</w:t>
      </w:r>
      <w:r w:rsidR="000D13B0">
        <w:rPr>
          <w:rFonts w:ascii="Times New Roman" w:hAnsi="Times New Roman"/>
          <w:sz w:val="28"/>
          <w:szCs w:val="28"/>
        </w:rPr>
        <w:t>, uma vez que tal dispositivo</w:t>
      </w:r>
      <w:r w:rsidR="003178C4">
        <w:rPr>
          <w:rFonts w:ascii="Times New Roman" w:hAnsi="Times New Roman"/>
          <w:sz w:val="28"/>
          <w:szCs w:val="28"/>
        </w:rPr>
        <w:t>, ao estabelecer que a percepção de honorários por advogados públicos se dará “na forma da lei”, tem eficácia limitada</w:t>
      </w:r>
      <w:r w:rsidR="004C5FF2">
        <w:rPr>
          <w:rFonts w:ascii="Times New Roman" w:hAnsi="Times New Roman"/>
          <w:sz w:val="28"/>
          <w:szCs w:val="28"/>
        </w:rPr>
        <w:t>, ao passo</w:t>
      </w:r>
      <w:r w:rsidR="00ED5322">
        <w:rPr>
          <w:rFonts w:ascii="Times New Roman" w:hAnsi="Times New Roman"/>
          <w:sz w:val="28"/>
          <w:szCs w:val="28"/>
        </w:rPr>
        <w:t xml:space="preserve"> </w:t>
      </w:r>
      <w:r w:rsidR="004C5FF2">
        <w:rPr>
          <w:rFonts w:ascii="Times New Roman" w:hAnsi="Times New Roman"/>
          <w:sz w:val="28"/>
          <w:szCs w:val="28"/>
        </w:rPr>
        <w:t>que</w:t>
      </w:r>
      <w:r w:rsidR="00ED5322">
        <w:rPr>
          <w:rFonts w:ascii="Times New Roman" w:hAnsi="Times New Roman"/>
          <w:sz w:val="28"/>
          <w:szCs w:val="28"/>
        </w:rPr>
        <w:t xml:space="preserve"> ainda não sobreveio lei federal ou estadual ulterior que o concretize. </w:t>
      </w:r>
      <w:r w:rsidR="00D2450E">
        <w:rPr>
          <w:rFonts w:ascii="Times New Roman" w:hAnsi="Times New Roman"/>
          <w:sz w:val="28"/>
          <w:szCs w:val="28"/>
        </w:rPr>
        <w:t>Apontou</w:t>
      </w:r>
      <w:r w:rsidR="00472E7C">
        <w:rPr>
          <w:rFonts w:ascii="Times New Roman" w:hAnsi="Times New Roman"/>
          <w:sz w:val="28"/>
          <w:szCs w:val="28"/>
        </w:rPr>
        <w:t xml:space="preserve">, ademais, que o Código de Processo Civil não tem o condão de derrogar ou suspender a eficácia do artigo 116, §2º, inciso I, da Constituição Estadual, porque este </w:t>
      </w:r>
      <w:r w:rsidR="009B48D9">
        <w:rPr>
          <w:rFonts w:ascii="Times New Roman" w:hAnsi="Times New Roman"/>
          <w:sz w:val="28"/>
          <w:szCs w:val="28"/>
        </w:rPr>
        <w:t>impõe limitação ao que podem receber os servidores públicos do Estado</w:t>
      </w:r>
      <w:r w:rsidR="00D95FC9">
        <w:rPr>
          <w:rFonts w:ascii="Times New Roman" w:hAnsi="Times New Roman"/>
          <w:sz w:val="28"/>
          <w:szCs w:val="28"/>
        </w:rPr>
        <w:t>, ao passo que</w:t>
      </w:r>
      <w:r w:rsidR="009B48D9">
        <w:rPr>
          <w:rFonts w:ascii="Times New Roman" w:hAnsi="Times New Roman"/>
          <w:sz w:val="28"/>
          <w:szCs w:val="28"/>
        </w:rPr>
        <w:t xml:space="preserve"> aquele versa sobre norma de natureza processual.</w:t>
      </w:r>
      <w:r w:rsidR="00472E7C">
        <w:rPr>
          <w:rFonts w:ascii="Times New Roman" w:hAnsi="Times New Roman"/>
          <w:sz w:val="28"/>
          <w:szCs w:val="28"/>
        </w:rPr>
        <w:t xml:space="preserve"> </w:t>
      </w:r>
      <w:r w:rsidR="00600009">
        <w:rPr>
          <w:rFonts w:ascii="Times New Roman" w:hAnsi="Times New Roman"/>
          <w:sz w:val="28"/>
          <w:szCs w:val="28"/>
        </w:rPr>
        <w:t>Frisou que, ainda que se entendesse que o Código de Processo Civil suspendeu a eficácia</w:t>
      </w:r>
      <w:r w:rsidR="008715CD">
        <w:rPr>
          <w:rFonts w:ascii="Times New Roman" w:hAnsi="Times New Roman"/>
          <w:sz w:val="28"/>
          <w:szCs w:val="28"/>
        </w:rPr>
        <w:t xml:space="preserve"> do artigo 116, §2º, inciso I, da Constituição Estadual</w:t>
      </w:r>
      <w:r w:rsidR="002C0B42">
        <w:rPr>
          <w:rFonts w:ascii="Times New Roman" w:hAnsi="Times New Roman"/>
          <w:sz w:val="28"/>
          <w:szCs w:val="28"/>
        </w:rPr>
        <w:t>, essa interpretação teria como efeito inarredável a conclusão de que</w:t>
      </w:r>
      <w:r w:rsidR="00A658B5">
        <w:rPr>
          <w:rFonts w:ascii="Times New Roman" w:hAnsi="Times New Roman"/>
          <w:sz w:val="28"/>
          <w:szCs w:val="28"/>
        </w:rPr>
        <w:t>, ao menos até 16 de março de 2016, a vedação ao pagamento de honorários pela Constituição Estadual permanecia válida e efic</w:t>
      </w:r>
      <w:r w:rsidR="00027AEF">
        <w:rPr>
          <w:rFonts w:ascii="Times New Roman" w:hAnsi="Times New Roman"/>
          <w:sz w:val="28"/>
          <w:szCs w:val="28"/>
        </w:rPr>
        <w:t>a</w:t>
      </w:r>
      <w:r w:rsidR="00A658B5">
        <w:rPr>
          <w:rFonts w:ascii="Times New Roman" w:hAnsi="Times New Roman"/>
          <w:sz w:val="28"/>
          <w:szCs w:val="28"/>
        </w:rPr>
        <w:t>z</w:t>
      </w:r>
      <w:r w:rsidR="002334D3">
        <w:rPr>
          <w:rFonts w:ascii="Times New Roman" w:hAnsi="Times New Roman"/>
          <w:sz w:val="28"/>
          <w:szCs w:val="28"/>
        </w:rPr>
        <w:t>, de modo que o pagamento de</w:t>
      </w:r>
      <w:r w:rsidR="004664C2">
        <w:rPr>
          <w:rFonts w:ascii="Times New Roman" w:hAnsi="Times New Roman"/>
          <w:sz w:val="28"/>
          <w:szCs w:val="28"/>
        </w:rPr>
        <w:t xml:space="preserve"> verbas honorárias a título de “prêmio de produtividade” </w:t>
      </w:r>
      <w:r w:rsidR="006B43B5">
        <w:rPr>
          <w:rFonts w:ascii="Times New Roman" w:hAnsi="Times New Roman"/>
          <w:sz w:val="28"/>
          <w:szCs w:val="28"/>
        </w:rPr>
        <w:t>seria, na origem, flagrantemente inconstitucional, vício que não</w:t>
      </w:r>
      <w:r w:rsidR="002A2E55">
        <w:rPr>
          <w:rFonts w:ascii="Times New Roman" w:hAnsi="Times New Roman"/>
          <w:sz w:val="28"/>
          <w:szCs w:val="28"/>
        </w:rPr>
        <w:t xml:space="preserve"> é passível de convalidação pela mudança d</w:t>
      </w:r>
      <w:r w:rsidR="004C5FF2">
        <w:rPr>
          <w:rFonts w:ascii="Times New Roman" w:hAnsi="Times New Roman"/>
          <w:sz w:val="28"/>
          <w:szCs w:val="28"/>
        </w:rPr>
        <w:t>o</w:t>
      </w:r>
      <w:r w:rsidR="002A2E55">
        <w:rPr>
          <w:rFonts w:ascii="Times New Roman" w:hAnsi="Times New Roman"/>
          <w:sz w:val="28"/>
          <w:szCs w:val="28"/>
        </w:rPr>
        <w:t xml:space="preserve"> </w:t>
      </w:r>
      <w:r w:rsidR="002A2E55">
        <w:rPr>
          <w:rFonts w:ascii="Times New Roman" w:hAnsi="Times New Roman"/>
          <w:sz w:val="28"/>
          <w:szCs w:val="28"/>
        </w:rPr>
        <w:lastRenderedPageBreak/>
        <w:t>paradigma</w:t>
      </w:r>
      <w:r w:rsidR="004C5FF2">
        <w:rPr>
          <w:rFonts w:ascii="Times New Roman" w:hAnsi="Times New Roman"/>
          <w:sz w:val="28"/>
          <w:szCs w:val="28"/>
        </w:rPr>
        <w:t xml:space="preserve"> de controle</w:t>
      </w:r>
      <w:r w:rsidR="002A2E55">
        <w:rPr>
          <w:rFonts w:ascii="Times New Roman" w:hAnsi="Times New Roman"/>
          <w:sz w:val="28"/>
          <w:szCs w:val="28"/>
        </w:rPr>
        <w:t xml:space="preserve">. </w:t>
      </w:r>
      <w:r w:rsidR="00BB1E52">
        <w:rPr>
          <w:rFonts w:ascii="Times New Roman" w:hAnsi="Times New Roman"/>
          <w:sz w:val="28"/>
          <w:szCs w:val="28"/>
        </w:rPr>
        <w:t xml:space="preserve">Arrolou precedentes do Supremo Tribunal Federal e do Tribunal de Justiça do Rio Grande do Sul </w:t>
      </w:r>
      <w:r w:rsidR="009F0BFB">
        <w:rPr>
          <w:rFonts w:ascii="Times New Roman" w:hAnsi="Times New Roman"/>
          <w:sz w:val="28"/>
          <w:szCs w:val="28"/>
        </w:rPr>
        <w:t>no intuito de corroborar essa posição.</w:t>
      </w:r>
      <w:r w:rsidR="00DB4033">
        <w:rPr>
          <w:rFonts w:ascii="Times New Roman" w:hAnsi="Times New Roman"/>
          <w:sz w:val="28"/>
          <w:szCs w:val="28"/>
        </w:rPr>
        <w:t xml:space="preserve"> </w:t>
      </w:r>
      <w:r w:rsidR="00D76D4D">
        <w:rPr>
          <w:rFonts w:ascii="Times New Roman" w:hAnsi="Times New Roman"/>
          <w:sz w:val="28"/>
          <w:szCs w:val="28"/>
        </w:rPr>
        <w:t>Postulou</w:t>
      </w:r>
      <w:r w:rsidR="00861956">
        <w:rPr>
          <w:rFonts w:ascii="Times New Roman" w:hAnsi="Times New Roman"/>
          <w:sz w:val="28"/>
          <w:szCs w:val="28"/>
        </w:rPr>
        <w:t xml:space="preserve"> a concessão de medida cautelar</w:t>
      </w:r>
      <w:r w:rsidR="009449F2">
        <w:rPr>
          <w:rFonts w:ascii="Times New Roman" w:hAnsi="Times New Roman"/>
          <w:sz w:val="28"/>
          <w:szCs w:val="28"/>
        </w:rPr>
        <w:t xml:space="preserve">, </w:t>
      </w:r>
      <w:r w:rsidR="004C5FF2">
        <w:rPr>
          <w:rFonts w:ascii="Times New Roman" w:hAnsi="Times New Roman"/>
          <w:sz w:val="28"/>
          <w:szCs w:val="28"/>
        </w:rPr>
        <w:t>objetivando</w:t>
      </w:r>
      <w:r w:rsidR="009449F2">
        <w:rPr>
          <w:rFonts w:ascii="Times New Roman" w:hAnsi="Times New Roman"/>
          <w:sz w:val="28"/>
          <w:szCs w:val="28"/>
        </w:rPr>
        <w:t xml:space="preserve"> a suspensão dos efeitos da Resolução n.º 151/2019-PGE/RS e,</w:t>
      </w:r>
      <w:r w:rsidR="00D76D4D">
        <w:rPr>
          <w:rFonts w:ascii="Times New Roman" w:hAnsi="Times New Roman"/>
          <w:sz w:val="28"/>
          <w:szCs w:val="28"/>
        </w:rPr>
        <w:t xml:space="preserve"> ao final, a declaração da inconstitucionalidade parcial, sem redução de texto, da expressão “prêmio de produtividade”,</w:t>
      </w:r>
      <w:r w:rsidR="00D91050">
        <w:rPr>
          <w:rFonts w:ascii="Times New Roman" w:hAnsi="Times New Roman"/>
          <w:sz w:val="28"/>
          <w:szCs w:val="28"/>
        </w:rPr>
        <w:t xml:space="preserve"> inserta</w:t>
      </w:r>
      <w:r w:rsidR="00D91050" w:rsidRPr="000E3D2C">
        <w:rPr>
          <w:rFonts w:ascii="Times New Roman" w:hAnsi="Times New Roman"/>
          <w:sz w:val="28"/>
          <w:szCs w:val="28"/>
        </w:rPr>
        <w:t xml:space="preserve"> no artigo 3º da</w:t>
      </w:r>
      <w:r w:rsidR="00D91050" w:rsidRPr="000E3D2C">
        <w:rPr>
          <w:rFonts w:ascii="Times New Roman" w:hAnsi="Times New Roman"/>
          <w:b/>
          <w:bCs/>
          <w:sz w:val="28"/>
          <w:szCs w:val="28"/>
        </w:rPr>
        <w:t xml:space="preserve"> Lei Estadual nº 10.298/1994</w:t>
      </w:r>
      <w:r w:rsidR="00D91050" w:rsidRPr="000E3D2C">
        <w:rPr>
          <w:rFonts w:ascii="Times New Roman" w:hAnsi="Times New Roman"/>
          <w:sz w:val="28"/>
          <w:szCs w:val="28"/>
        </w:rPr>
        <w:t xml:space="preserve">, </w:t>
      </w:r>
      <w:r w:rsidR="00D91050">
        <w:rPr>
          <w:rFonts w:ascii="Times New Roman" w:hAnsi="Times New Roman"/>
          <w:sz w:val="28"/>
          <w:szCs w:val="28"/>
        </w:rPr>
        <w:t>com</w:t>
      </w:r>
      <w:r w:rsidR="00D91050" w:rsidRPr="000E3D2C">
        <w:rPr>
          <w:rFonts w:ascii="Times New Roman" w:hAnsi="Times New Roman"/>
          <w:sz w:val="28"/>
          <w:szCs w:val="28"/>
        </w:rPr>
        <w:t xml:space="preserve"> redação dada pela Lei Estadual nº 12.222/2004</w:t>
      </w:r>
      <w:r w:rsidR="00D91050">
        <w:rPr>
          <w:rFonts w:ascii="Times New Roman" w:hAnsi="Times New Roman"/>
          <w:sz w:val="28"/>
          <w:szCs w:val="28"/>
        </w:rPr>
        <w:t>,</w:t>
      </w:r>
      <w:r w:rsidR="00D76D4D">
        <w:rPr>
          <w:rFonts w:ascii="Times New Roman" w:hAnsi="Times New Roman"/>
          <w:sz w:val="28"/>
          <w:szCs w:val="28"/>
        </w:rPr>
        <w:t xml:space="preserve"> para o fim de que seja excluído de seu alcance o pagamento ou distribuição de honorários de sucumbência aos advogados públicos e, por arrastamento, a declaração da inconstitucionalidade do artigo </w:t>
      </w:r>
      <w:r w:rsidR="0065082F">
        <w:rPr>
          <w:rFonts w:ascii="Times New Roman" w:hAnsi="Times New Roman"/>
          <w:sz w:val="28"/>
          <w:szCs w:val="28"/>
        </w:rPr>
        <w:t xml:space="preserve">4º do Decreto Estadual n.º 54.454/2018 e da Resolução n.º 151/2019-PGE/RS (fls. </w:t>
      </w:r>
      <w:r w:rsidR="00BC305A">
        <w:rPr>
          <w:rFonts w:ascii="Times New Roman" w:hAnsi="Times New Roman"/>
          <w:sz w:val="28"/>
          <w:szCs w:val="28"/>
        </w:rPr>
        <w:t>05</w:t>
      </w:r>
      <w:r w:rsidR="004C5FF2">
        <w:rPr>
          <w:rFonts w:ascii="Times New Roman" w:hAnsi="Times New Roman"/>
          <w:sz w:val="28"/>
          <w:szCs w:val="28"/>
        </w:rPr>
        <w:t>-</w:t>
      </w:r>
      <w:r w:rsidR="00A0747F">
        <w:rPr>
          <w:rFonts w:ascii="Times New Roman" w:hAnsi="Times New Roman"/>
          <w:sz w:val="28"/>
          <w:szCs w:val="28"/>
        </w:rPr>
        <w:t xml:space="preserve">38 e documentos das fls. </w:t>
      </w:r>
      <w:r w:rsidR="00863F9C">
        <w:rPr>
          <w:rFonts w:ascii="Times New Roman" w:hAnsi="Times New Roman"/>
          <w:sz w:val="28"/>
          <w:szCs w:val="28"/>
        </w:rPr>
        <w:t>39</w:t>
      </w:r>
      <w:r w:rsidR="004C5FF2">
        <w:rPr>
          <w:rFonts w:ascii="Times New Roman" w:hAnsi="Times New Roman"/>
          <w:sz w:val="28"/>
          <w:szCs w:val="28"/>
        </w:rPr>
        <w:t>-</w:t>
      </w:r>
      <w:r w:rsidR="00863F9C">
        <w:rPr>
          <w:rFonts w:ascii="Times New Roman" w:hAnsi="Times New Roman"/>
          <w:sz w:val="28"/>
          <w:szCs w:val="28"/>
        </w:rPr>
        <w:t>78).</w:t>
      </w:r>
    </w:p>
    <w:p w:rsidR="004A35B4" w:rsidRDefault="002D7CD1" w:rsidP="007F21F0">
      <w:pPr>
        <w:spacing w:line="360" w:lineRule="auto"/>
        <w:ind w:firstLine="1701"/>
        <w:jc w:val="both"/>
        <w:rPr>
          <w:rFonts w:ascii="Times New Roman" w:hAnsi="Times New Roman"/>
          <w:sz w:val="28"/>
          <w:szCs w:val="28"/>
        </w:rPr>
      </w:pPr>
      <w:r>
        <w:rPr>
          <w:rFonts w:ascii="Times New Roman" w:hAnsi="Times New Roman"/>
          <w:sz w:val="28"/>
          <w:szCs w:val="28"/>
        </w:rPr>
        <w:t>Sobreveio petição do Governador do Estado</w:t>
      </w:r>
      <w:r w:rsidR="006502FC">
        <w:rPr>
          <w:rFonts w:ascii="Times New Roman" w:hAnsi="Times New Roman"/>
          <w:sz w:val="28"/>
          <w:szCs w:val="28"/>
        </w:rPr>
        <w:t xml:space="preserve">, representado pelo </w:t>
      </w:r>
      <w:r>
        <w:rPr>
          <w:rFonts w:ascii="Times New Roman" w:hAnsi="Times New Roman"/>
          <w:sz w:val="28"/>
          <w:szCs w:val="28"/>
        </w:rPr>
        <w:t>Procurador-Geral do Estado</w:t>
      </w:r>
      <w:r w:rsidR="006502FC">
        <w:rPr>
          <w:rFonts w:ascii="Times New Roman" w:hAnsi="Times New Roman"/>
          <w:sz w:val="28"/>
          <w:szCs w:val="28"/>
        </w:rPr>
        <w:t xml:space="preserve">, e deste, </w:t>
      </w:r>
      <w:r w:rsidR="005079AF">
        <w:rPr>
          <w:rFonts w:ascii="Times New Roman" w:hAnsi="Times New Roman"/>
          <w:sz w:val="28"/>
          <w:szCs w:val="28"/>
        </w:rPr>
        <w:t>em nome próprio</w:t>
      </w:r>
      <w:r w:rsidR="00015FE1">
        <w:rPr>
          <w:rFonts w:ascii="Times New Roman" w:hAnsi="Times New Roman"/>
          <w:sz w:val="28"/>
          <w:szCs w:val="28"/>
        </w:rPr>
        <w:t>, pleiteando</w:t>
      </w:r>
      <w:r w:rsidR="00970DB2">
        <w:rPr>
          <w:rFonts w:ascii="Times New Roman" w:hAnsi="Times New Roman"/>
          <w:sz w:val="28"/>
          <w:szCs w:val="28"/>
        </w:rPr>
        <w:t xml:space="preserve"> a concessão de prazo para manifestação prévia</w:t>
      </w:r>
      <w:r w:rsidR="005079AF">
        <w:rPr>
          <w:rFonts w:ascii="Times New Roman" w:hAnsi="Times New Roman"/>
          <w:sz w:val="28"/>
          <w:szCs w:val="28"/>
        </w:rPr>
        <w:t xml:space="preserve"> à deliberação a respeito da providência liminar</w:t>
      </w:r>
      <w:r w:rsidR="00970DB2">
        <w:rPr>
          <w:rFonts w:ascii="Times New Roman" w:hAnsi="Times New Roman"/>
          <w:sz w:val="28"/>
          <w:szCs w:val="28"/>
        </w:rPr>
        <w:t xml:space="preserve"> (fls. 86</w:t>
      </w:r>
      <w:r w:rsidR="005079AF">
        <w:rPr>
          <w:rFonts w:ascii="Times New Roman" w:hAnsi="Times New Roman"/>
          <w:sz w:val="28"/>
          <w:szCs w:val="28"/>
        </w:rPr>
        <w:t>-</w:t>
      </w:r>
      <w:r w:rsidR="00970DB2">
        <w:rPr>
          <w:rFonts w:ascii="Times New Roman" w:hAnsi="Times New Roman"/>
          <w:sz w:val="28"/>
          <w:szCs w:val="28"/>
        </w:rPr>
        <w:t xml:space="preserve">87), o que foi deferido (fls. </w:t>
      </w:r>
      <w:r w:rsidR="00D60589">
        <w:rPr>
          <w:rFonts w:ascii="Times New Roman" w:hAnsi="Times New Roman"/>
          <w:sz w:val="28"/>
          <w:szCs w:val="28"/>
        </w:rPr>
        <w:t>88</w:t>
      </w:r>
      <w:r w:rsidR="005079AF">
        <w:rPr>
          <w:rFonts w:ascii="Times New Roman" w:hAnsi="Times New Roman"/>
          <w:sz w:val="28"/>
          <w:szCs w:val="28"/>
        </w:rPr>
        <w:t>-</w:t>
      </w:r>
      <w:r w:rsidR="00D60589">
        <w:rPr>
          <w:rFonts w:ascii="Times New Roman" w:hAnsi="Times New Roman"/>
          <w:sz w:val="28"/>
          <w:szCs w:val="28"/>
        </w:rPr>
        <w:t>89).</w:t>
      </w:r>
    </w:p>
    <w:p w:rsidR="000B245A" w:rsidRDefault="000B245A"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A Associação dos Procuradores do Estado do Rio Grande do Sul-APERGS requereu o seu ingresso no feito </w:t>
      </w:r>
      <w:r w:rsidR="00EE6EF0">
        <w:rPr>
          <w:rFonts w:ascii="Times New Roman" w:hAnsi="Times New Roman"/>
          <w:sz w:val="28"/>
          <w:szCs w:val="28"/>
        </w:rPr>
        <w:t xml:space="preserve">na condição de </w:t>
      </w:r>
      <w:proofErr w:type="spellStart"/>
      <w:r>
        <w:rPr>
          <w:rFonts w:ascii="Times New Roman" w:hAnsi="Times New Roman"/>
          <w:i/>
          <w:iCs/>
          <w:sz w:val="28"/>
          <w:szCs w:val="28"/>
        </w:rPr>
        <w:t>amicus</w:t>
      </w:r>
      <w:proofErr w:type="spellEnd"/>
      <w:r>
        <w:rPr>
          <w:rFonts w:ascii="Times New Roman" w:hAnsi="Times New Roman"/>
          <w:i/>
          <w:iCs/>
          <w:sz w:val="28"/>
          <w:szCs w:val="28"/>
        </w:rPr>
        <w:t xml:space="preserve"> </w:t>
      </w:r>
      <w:proofErr w:type="spellStart"/>
      <w:r>
        <w:rPr>
          <w:rFonts w:ascii="Times New Roman" w:hAnsi="Times New Roman"/>
          <w:i/>
          <w:iCs/>
          <w:sz w:val="28"/>
          <w:szCs w:val="28"/>
        </w:rPr>
        <w:t>curiae</w:t>
      </w:r>
      <w:proofErr w:type="spellEnd"/>
      <w:r>
        <w:rPr>
          <w:rFonts w:ascii="Times New Roman" w:hAnsi="Times New Roman"/>
          <w:sz w:val="28"/>
          <w:szCs w:val="28"/>
        </w:rPr>
        <w:t xml:space="preserve">. </w:t>
      </w:r>
      <w:r w:rsidR="00824002">
        <w:rPr>
          <w:rFonts w:ascii="Times New Roman" w:hAnsi="Times New Roman"/>
          <w:sz w:val="28"/>
          <w:szCs w:val="28"/>
        </w:rPr>
        <w:t xml:space="preserve">Após discorrer </w:t>
      </w:r>
      <w:r>
        <w:rPr>
          <w:rFonts w:ascii="Times New Roman" w:hAnsi="Times New Roman"/>
          <w:sz w:val="28"/>
          <w:szCs w:val="28"/>
        </w:rPr>
        <w:t xml:space="preserve">sobre </w:t>
      </w:r>
      <w:r w:rsidR="00BE6C42">
        <w:rPr>
          <w:rFonts w:ascii="Times New Roman" w:hAnsi="Times New Roman"/>
          <w:sz w:val="28"/>
          <w:szCs w:val="28"/>
        </w:rPr>
        <w:t>a pertinência da sua habilitação processual</w:t>
      </w:r>
      <w:r w:rsidR="00824002">
        <w:rPr>
          <w:rFonts w:ascii="Times New Roman" w:hAnsi="Times New Roman"/>
          <w:sz w:val="28"/>
          <w:szCs w:val="28"/>
        </w:rPr>
        <w:t>,</w:t>
      </w:r>
      <w:r w:rsidR="006312E8">
        <w:rPr>
          <w:rFonts w:ascii="Times New Roman" w:hAnsi="Times New Roman"/>
          <w:sz w:val="28"/>
          <w:szCs w:val="28"/>
        </w:rPr>
        <w:t xml:space="preserve"> </w:t>
      </w:r>
      <w:r w:rsidR="00824002">
        <w:rPr>
          <w:rFonts w:ascii="Times New Roman" w:hAnsi="Times New Roman"/>
          <w:sz w:val="28"/>
          <w:szCs w:val="28"/>
        </w:rPr>
        <w:t>s</w:t>
      </w:r>
      <w:r w:rsidR="006312E8">
        <w:rPr>
          <w:rFonts w:ascii="Times New Roman" w:hAnsi="Times New Roman"/>
          <w:sz w:val="28"/>
          <w:szCs w:val="28"/>
        </w:rPr>
        <w:t xml:space="preserve">uscitou, em caráter preliminar, vício na representação do proponente, </w:t>
      </w:r>
      <w:r w:rsidR="00606F61">
        <w:rPr>
          <w:rFonts w:ascii="Times New Roman" w:hAnsi="Times New Roman"/>
          <w:sz w:val="28"/>
          <w:szCs w:val="28"/>
        </w:rPr>
        <w:t>argumentando que</w:t>
      </w:r>
      <w:r w:rsidR="00176919">
        <w:rPr>
          <w:rFonts w:ascii="Times New Roman" w:hAnsi="Times New Roman"/>
          <w:sz w:val="28"/>
          <w:szCs w:val="28"/>
        </w:rPr>
        <w:t xml:space="preserve"> o instrumento de mandato juntado aos autos é genérico.</w:t>
      </w:r>
      <w:r w:rsidR="00045EA9">
        <w:rPr>
          <w:rFonts w:ascii="Times New Roman" w:hAnsi="Times New Roman"/>
          <w:sz w:val="28"/>
          <w:szCs w:val="28"/>
        </w:rPr>
        <w:t xml:space="preserve"> Mencionou que o Supremo Tribunal Federal, em precedentes de incidência direta e vinculante </w:t>
      </w:r>
      <w:r w:rsidR="00045EA9">
        <w:rPr>
          <w:rFonts w:ascii="Times New Roman" w:hAnsi="Times New Roman"/>
          <w:sz w:val="28"/>
          <w:szCs w:val="28"/>
        </w:rPr>
        <w:lastRenderedPageBreak/>
        <w:t>(</w:t>
      </w:r>
      <w:proofErr w:type="spellStart"/>
      <w:proofErr w:type="gramStart"/>
      <w:r w:rsidR="00045EA9">
        <w:rPr>
          <w:rFonts w:ascii="Times New Roman" w:hAnsi="Times New Roman"/>
          <w:sz w:val="28"/>
          <w:szCs w:val="28"/>
        </w:rPr>
        <w:t>ADI</w:t>
      </w:r>
      <w:r w:rsidR="00BE6C42">
        <w:rPr>
          <w:rFonts w:ascii="Times New Roman" w:hAnsi="Times New Roman"/>
          <w:sz w:val="28"/>
          <w:szCs w:val="28"/>
        </w:rPr>
        <w:t>s</w:t>
      </w:r>
      <w:proofErr w:type="spellEnd"/>
      <w:proofErr w:type="gramEnd"/>
      <w:r w:rsidR="00045EA9">
        <w:rPr>
          <w:rFonts w:ascii="Times New Roman" w:hAnsi="Times New Roman"/>
          <w:sz w:val="28"/>
          <w:szCs w:val="28"/>
        </w:rPr>
        <w:t xml:space="preserve"> n.º 6.183 e </w:t>
      </w:r>
      <w:r w:rsidR="00AE51CB">
        <w:rPr>
          <w:rFonts w:ascii="Times New Roman" w:hAnsi="Times New Roman"/>
          <w:sz w:val="28"/>
          <w:szCs w:val="28"/>
        </w:rPr>
        <w:t>6</w:t>
      </w:r>
      <w:r w:rsidR="00A93300">
        <w:rPr>
          <w:rFonts w:ascii="Times New Roman" w:hAnsi="Times New Roman"/>
          <w:sz w:val="28"/>
          <w:szCs w:val="28"/>
        </w:rPr>
        <w:t>.</w:t>
      </w:r>
      <w:r w:rsidR="00AE51CB">
        <w:rPr>
          <w:rFonts w:ascii="Times New Roman" w:hAnsi="Times New Roman"/>
          <w:sz w:val="28"/>
          <w:szCs w:val="28"/>
        </w:rPr>
        <w:t>053), reconheceu a possibilidade do pagamento de honorários aos Procuradores do Estado</w:t>
      </w:r>
      <w:r w:rsidR="00A72DF9">
        <w:rPr>
          <w:rFonts w:ascii="Times New Roman" w:hAnsi="Times New Roman"/>
          <w:sz w:val="28"/>
          <w:szCs w:val="28"/>
        </w:rPr>
        <w:t>.</w:t>
      </w:r>
      <w:r w:rsidR="00A4172A">
        <w:rPr>
          <w:rFonts w:ascii="Times New Roman" w:hAnsi="Times New Roman"/>
          <w:sz w:val="28"/>
          <w:szCs w:val="28"/>
        </w:rPr>
        <w:t xml:space="preserve"> Referiu que o Tribunal de Justiça do Rio Grande do Sul, na </w:t>
      </w:r>
      <w:r w:rsidR="00680F6D">
        <w:rPr>
          <w:rFonts w:ascii="Times New Roman" w:hAnsi="Times New Roman"/>
          <w:sz w:val="28"/>
          <w:szCs w:val="28"/>
        </w:rPr>
        <w:t>ADI</w:t>
      </w:r>
      <w:r w:rsidR="00A4172A">
        <w:rPr>
          <w:rFonts w:ascii="Times New Roman" w:hAnsi="Times New Roman"/>
          <w:sz w:val="28"/>
          <w:szCs w:val="28"/>
        </w:rPr>
        <w:t xml:space="preserve"> n.º 70083553982</w:t>
      </w:r>
      <w:r w:rsidR="00C0709A">
        <w:rPr>
          <w:rFonts w:ascii="Times New Roman" w:hAnsi="Times New Roman"/>
          <w:sz w:val="28"/>
          <w:szCs w:val="28"/>
        </w:rPr>
        <w:t>, declarou a inconstitucionalidade do Decreto Legislativo Estadual n.º 11.219, de 11 de dezembro de 2019</w:t>
      </w:r>
      <w:r w:rsidR="00B10428">
        <w:rPr>
          <w:rFonts w:ascii="Times New Roman" w:hAnsi="Times New Roman"/>
          <w:sz w:val="28"/>
          <w:szCs w:val="28"/>
        </w:rPr>
        <w:t xml:space="preserve">, </w:t>
      </w:r>
      <w:r w:rsidR="00BE6C42">
        <w:rPr>
          <w:rFonts w:ascii="Times New Roman" w:hAnsi="Times New Roman"/>
          <w:sz w:val="28"/>
          <w:szCs w:val="28"/>
        </w:rPr>
        <w:t>por meio do qual se</w:t>
      </w:r>
      <w:r w:rsidR="00B10428">
        <w:rPr>
          <w:rFonts w:ascii="Times New Roman" w:hAnsi="Times New Roman"/>
          <w:sz w:val="28"/>
          <w:szCs w:val="28"/>
        </w:rPr>
        <w:t xml:space="preserve"> havia</w:t>
      </w:r>
      <w:r w:rsidR="00BE6C42">
        <w:rPr>
          <w:rFonts w:ascii="Times New Roman" w:hAnsi="Times New Roman"/>
          <w:sz w:val="28"/>
          <w:szCs w:val="28"/>
        </w:rPr>
        <w:t>m</w:t>
      </w:r>
      <w:r w:rsidR="00B10428">
        <w:rPr>
          <w:rFonts w:ascii="Times New Roman" w:hAnsi="Times New Roman"/>
          <w:sz w:val="28"/>
          <w:szCs w:val="28"/>
        </w:rPr>
        <w:t xml:space="preserve"> sustado os efeitos da Resolução n.º 151/2019-PGE/RS.</w:t>
      </w:r>
      <w:r w:rsidR="0055398B">
        <w:rPr>
          <w:rFonts w:ascii="Times New Roman" w:hAnsi="Times New Roman"/>
          <w:sz w:val="28"/>
          <w:szCs w:val="28"/>
        </w:rPr>
        <w:t xml:space="preserve"> </w:t>
      </w:r>
      <w:proofErr w:type="gramStart"/>
      <w:r w:rsidR="00AA5E55">
        <w:rPr>
          <w:rFonts w:ascii="Times New Roman" w:hAnsi="Times New Roman"/>
          <w:sz w:val="28"/>
          <w:szCs w:val="28"/>
        </w:rPr>
        <w:t>Indicou</w:t>
      </w:r>
      <w:proofErr w:type="gramEnd"/>
      <w:r w:rsidR="00AA5E55">
        <w:rPr>
          <w:rFonts w:ascii="Times New Roman" w:hAnsi="Times New Roman"/>
          <w:sz w:val="28"/>
          <w:szCs w:val="28"/>
        </w:rPr>
        <w:t>, ainda, precedente da 4ª Câmara Cível do Tribunal de Justiça do Rio Grande do Sul</w:t>
      </w:r>
      <w:r w:rsidR="00076742">
        <w:rPr>
          <w:rFonts w:ascii="Times New Roman" w:hAnsi="Times New Roman"/>
          <w:sz w:val="28"/>
          <w:szCs w:val="28"/>
        </w:rPr>
        <w:t>,</w:t>
      </w:r>
      <w:r w:rsidR="006B49CC">
        <w:rPr>
          <w:rFonts w:ascii="Times New Roman" w:hAnsi="Times New Roman"/>
          <w:sz w:val="28"/>
          <w:szCs w:val="28"/>
        </w:rPr>
        <w:t xml:space="preserve"> em</w:t>
      </w:r>
      <w:r w:rsidR="00AA5E55">
        <w:rPr>
          <w:rFonts w:ascii="Times New Roman" w:hAnsi="Times New Roman"/>
          <w:sz w:val="28"/>
          <w:szCs w:val="28"/>
        </w:rPr>
        <w:t xml:space="preserve"> que</w:t>
      </w:r>
      <w:r w:rsidR="006B49CC">
        <w:rPr>
          <w:rFonts w:ascii="Times New Roman" w:hAnsi="Times New Roman"/>
          <w:sz w:val="28"/>
          <w:szCs w:val="28"/>
        </w:rPr>
        <w:t xml:space="preserve"> restou</w:t>
      </w:r>
      <w:r w:rsidR="002B7BE7">
        <w:rPr>
          <w:rFonts w:ascii="Times New Roman" w:hAnsi="Times New Roman"/>
          <w:sz w:val="28"/>
          <w:szCs w:val="28"/>
        </w:rPr>
        <w:t xml:space="preserve"> </w:t>
      </w:r>
      <w:r w:rsidR="00AA5E55">
        <w:rPr>
          <w:rFonts w:ascii="Times New Roman" w:hAnsi="Times New Roman"/>
          <w:sz w:val="28"/>
          <w:szCs w:val="28"/>
        </w:rPr>
        <w:t>reconhec</w:t>
      </w:r>
      <w:r w:rsidR="006B49CC">
        <w:rPr>
          <w:rFonts w:ascii="Times New Roman" w:hAnsi="Times New Roman"/>
          <w:sz w:val="28"/>
          <w:szCs w:val="28"/>
        </w:rPr>
        <w:t>ida</w:t>
      </w:r>
      <w:r w:rsidR="00AA5E55">
        <w:rPr>
          <w:rFonts w:ascii="Times New Roman" w:hAnsi="Times New Roman"/>
          <w:sz w:val="28"/>
          <w:szCs w:val="28"/>
        </w:rPr>
        <w:t xml:space="preserve"> a constitucionalidade do pagamento de honorários sucumbenciais a Procuradores do Estado. </w:t>
      </w:r>
      <w:r w:rsidR="0055398B">
        <w:rPr>
          <w:rFonts w:ascii="Times New Roman" w:hAnsi="Times New Roman"/>
          <w:sz w:val="28"/>
          <w:szCs w:val="28"/>
        </w:rPr>
        <w:t>Argumentou</w:t>
      </w:r>
      <w:r w:rsidR="007068B6">
        <w:rPr>
          <w:rFonts w:ascii="Times New Roman" w:hAnsi="Times New Roman"/>
          <w:sz w:val="28"/>
          <w:szCs w:val="28"/>
        </w:rPr>
        <w:t>, assim, que o Poder Judiciário,</w:t>
      </w:r>
      <w:r w:rsidR="00AA5E55">
        <w:rPr>
          <w:rFonts w:ascii="Times New Roman" w:hAnsi="Times New Roman"/>
          <w:sz w:val="28"/>
          <w:szCs w:val="28"/>
        </w:rPr>
        <w:t xml:space="preserve"> em sede de controle difuso e concentrado, já sedimento</w:t>
      </w:r>
      <w:r w:rsidR="007334E5">
        <w:rPr>
          <w:rFonts w:ascii="Times New Roman" w:hAnsi="Times New Roman"/>
          <w:sz w:val="28"/>
          <w:szCs w:val="28"/>
        </w:rPr>
        <w:t>u</w:t>
      </w:r>
      <w:r w:rsidR="00E93EE4">
        <w:rPr>
          <w:rFonts w:ascii="Times New Roman" w:hAnsi="Times New Roman"/>
          <w:sz w:val="28"/>
          <w:szCs w:val="28"/>
        </w:rPr>
        <w:t xml:space="preserve"> </w:t>
      </w:r>
      <w:r w:rsidR="00AA5E55">
        <w:rPr>
          <w:rFonts w:ascii="Times New Roman" w:hAnsi="Times New Roman"/>
          <w:sz w:val="28"/>
          <w:szCs w:val="28"/>
        </w:rPr>
        <w:t>entendimento no sentido da constitucionalidade da percepção de honorários sucumbenciais pelos advogados públicos.</w:t>
      </w:r>
      <w:r w:rsidR="008525AE">
        <w:rPr>
          <w:rFonts w:ascii="Times New Roman" w:hAnsi="Times New Roman"/>
          <w:sz w:val="28"/>
          <w:szCs w:val="28"/>
        </w:rPr>
        <w:t xml:space="preserve"> Ponderou que o proponente</w:t>
      </w:r>
      <w:r w:rsidR="0032157F">
        <w:rPr>
          <w:rFonts w:ascii="Times New Roman" w:hAnsi="Times New Roman"/>
          <w:sz w:val="28"/>
          <w:szCs w:val="28"/>
        </w:rPr>
        <w:t xml:space="preserve"> </w:t>
      </w:r>
      <w:r w:rsidR="008525AE">
        <w:rPr>
          <w:rFonts w:ascii="Times New Roman" w:hAnsi="Times New Roman"/>
          <w:sz w:val="28"/>
          <w:szCs w:val="28"/>
        </w:rPr>
        <w:t>pretende rediscutir matéria que já transitou em julgado.</w:t>
      </w:r>
      <w:r w:rsidR="00B025CF">
        <w:rPr>
          <w:rFonts w:ascii="Times New Roman" w:hAnsi="Times New Roman"/>
          <w:sz w:val="28"/>
          <w:szCs w:val="28"/>
        </w:rPr>
        <w:t xml:space="preserve"> Arrolou</w:t>
      </w:r>
      <w:r w:rsidR="00B7253D">
        <w:rPr>
          <w:rFonts w:ascii="Times New Roman" w:hAnsi="Times New Roman"/>
          <w:sz w:val="28"/>
          <w:szCs w:val="28"/>
        </w:rPr>
        <w:t xml:space="preserve"> precedente do Supremo Tribunal Federal </w:t>
      </w:r>
      <w:r w:rsidR="00BE6C42">
        <w:rPr>
          <w:rFonts w:ascii="Times New Roman" w:hAnsi="Times New Roman"/>
          <w:sz w:val="28"/>
          <w:szCs w:val="28"/>
        </w:rPr>
        <w:t>no sentido da</w:t>
      </w:r>
      <w:r w:rsidR="00B7253D">
        <w:rPr>
          <w:rFonts w:ascii="Times New Roman" w:hAnsi="Times New Roman"/>
          <w:sz w:val="28"/>
          <w:szCs w:val="28"/>
        </w:rPr>
        <w:t xml:space="preserve"> inviabilidade de nova </w:t>
      </w:r>
      <w:r w:rsidR="00762E90">
        <w:rPr>
          <w:rFonts w:ascii="Times New Roman" w:hAnsi="Times New Roman"/>
          <w:sz w:val="28"/>
          <w:szCs w:val="28"/>
        </w:rPr>
        <w:t>impugnação</w:t>
      </w:r>
      <w:r w:rsidR="00B7253D">
        <w:rPr>
          <w:rFonts w:ascii="Times New Roman" w:hAnsi="Times New Roman"/>
          <w:sz w:val="28"/>
          <w:szCs w:val="28"/>
        </w:rPr>
        <w:t xml:space="preserve"> </w:t>
      </w:r>
      <w:r w:rsidR="00762E90">
        <w:rPr>
          <w:rFonts w:ascii="Times New Roman" w:hAnsi="Times New Roman"/>
          <w:sz w:val="28"/>
          <w:szCs w:val="28"/>
        </w:rPr>
        <w:t>de</w:t>
      </w:r>
      <w:r w:rsidR="00B7253D">
        <w:rPr>
          <w:rFonts w:ascii="Times New Roman" w:hAnsi="Times New Roman"/>
          <w:sz w:val="28"/>
          <w:szCs w:val="28"/>
        </w:rPr>
        <w:t xml:space="preserve"> norma já declarada constitucional pelo Plenário do Pretório Excelso.</w:t>
      </w:r>
      <w:r w:rsidR="00831D8D">
        <w:rPr>
          <w:rFonts w:ascii="Times New Roman" w:hAnsi="Times New Roman"/>
          <w:sz w:val="28"/>
          <w:szCs w:val="28"/>
        </w:rPr>
        <w:t xml:space="preserve"> Alegou que o artigo 116, §2º, inciso I, da Constituição Estadual</w:t>
      </w:r>
      <w:r w:rsidR="0051587E">
        <w:rPr>
          <w:rFonts w:ascii="Times New Roman" w:hAnsi="Times New Roman"/>
          <w:sz w:val="28"/>
          <w:szCs w:val="28"/>
        </w:rPr>
        <w:t>,</w:t>
      </w:r>
      <w:r w:rsidR="00831D8D">
        <w:rPr>
          <w:rFonts w:ascii="Times New Roman" w:hAnsi="Times New Roman"/>
          <w:sz w:val="28"/>
          <w:szCs w:val="28"/>
        </w:rPr>
        <w:t xml:space="preserve"> padece de inconstitucionalidade superveniente, uma vez que contraria os parâmetros estabelecidos pela Emenda Constitucional n.º 19/1998</w:t>
      </w:r>
      <w:r w:rsidR="00BC5288">
        <w:rPr>
          <w:rFonts w:ascii="Times New Roman" w:hAnsi="Times New Roman"/>
          <w:sz w:val="28"/>
          <w:szCs w:val="28"/>
        </w:rPr>
        <w:t>, mencionando pareceres do Ministério Público em que adotada essa linha de intelecção</w:t>
      </w:r>
      <w:r w:rsidR="00831D8D">
        <w:rPr>
          <w:rFonts w:ascii="Times New Roman" w:hAnsi="Times New Roman"/>
          <w:sz w:val="28"/>
          <w:szCs w:val="28"/>
        </w:rPr>
        <w:t>.</w:t>
      </w:r>
      <w:r w:rsidR="00A87C81">
        <w:rPr>
          <w:rFonts w:ascii="Times New Roman" w:hAnsi="Times New Roman"/>
          <w:sz w:val="28"/>
          <w:szCs w:val="28"/>
        </w:rPr>
        <w:t xml:space="preserve"> Sustentou que </w:t>
      </w:r>
      <w:r w:rsidR="00C83EB5">
        <w:rPr>
          <w:rFonts w:ascii="Times New Roman" w:hAnsi="Times New Roman"/>
          <w:sz w:val="28"/>
          <w:szCs w:val="28"/>
        </w:rPr>
        <w:t>tanto a</w:t>
      </w:r>
      <w:r w:rsidR="00A701F5">
        <w:rPr>
          <w:rFonts w:ascii="Times New Roman" w:hAnsi="Times New Roman"/>
          <w:sz w:val="28"/>
          <w:szCs w:val="28"/>
        </w:rPr>
        <w:t xml:space="preserve"> Lei Estadual n.º 12.298/1994</w:t>
      </w:r>
      <w:r w:rsidR="00C83EB5">
        <w:rPr>
          <w:rFonts w:ascii="Times New Roman" w:hAnsi="Times New Roman"/>
          <w:sz w:val="28"/>
          <w:szCs w:val="28"/>
        </w:rPr>
        <w:t xml:space="preserve"> quanto o Decreto Estadual n.º 54.453/2018</w:t>
      </w:r>
      <w:r w:rsidR="00A701F5">
        <w:rPr>
          <w:rFonts w:ascii="Times New Roman" w:hAnsi="Times New Roman"/>
          <w:sz w:val="28"/>
          <w:szCs w:val="28"/>
        </w:rPr>
        <w:t xml:space="preserve"> permite</w:t>
      </w:r>
      <w:r w:rsidR="00C83EB5">
        <w:rPr>
          <w:rFonts w:ascii="Times New Roman" w:hAnsi="Times New Roman"/>
          <w:sz w:val="28"/>
          <w:szCs w:val="28"/>
        </w:rPr>
        <w:t>m</w:t>
      </w:r>
      <w:r w:rsidR="00A701F5">
        <w:rPr>
          <w:rFonts w:ascii="Times New Roman" w:hAnsi="Times New Roman"/>
          <w:sz w:val="28"/>
          <w:szCs w:val="28"/>
        </w:rPr>
        <w:t xml:space="preserve"> a concessão de prêmio de produtividade aos membros da Procuradoria do Estado,</w:t>
      </w:r>
      <w:r w:rsidR="00B8336C">
        <w:rPr>
          <w:rFonts w:ascii="Times New Roman" w:hAnsi="Times New Roman"/>
          <w:sz w:val="28"/>
          <w:szCs w:val="28"/>
        </w:rPr>
        <w:t xml:space="preserve"> com verba advinda do Fundo de Reaparelhamento</w:t>
      </w:r>
      <w:r w:rsidR="00C83EB5">
        <w:rPr>
          <w:rFonts w:ascii="Times New Roman" w:hAnsi="Times New Roman"/>
          <w:sz w:val="28"/>
          <w:szCs w:val="28"/>
        </w:rPr>
        <w:t xml:space="preserve">, sendo que a Resolução </w:t>
      </w:r>
      <w:r w:rsidR="00F71E9F">
        <w:rPr>
          <w:rFonts w:ascii="Times New Roman" w:hAnsi="Times New Roman"/>
          <w:sz w:val="28"/>
          <w:szCs w:val="28"/>
        </w:rPr>
        <w:t xml:space="preserve">n.º 151/2019-PGE/RS </w:t>
      </w:r>
      <w:r w:rsidR="00F71E9F">
        <w:rPr>
          <w:rFonts w:ascii="Times New Roman" w:hAnsi="Times New Roman"/>
          <w:sz w:val="28"/>
          <w:szCs w:val="28"/>
        </w:rPr>
        <w:lastRenderedPageBreak/>
        <w:t xml:space="preserve">apenas regulamentou as </w:t>
      </w:r>
      <w:r w:rsidR="005E569B">
        <w:rPr>
          <w:rFonts w:ascii="Times New Roman" w:hAnsi="Times New Roman"/>
          <w:sz w:val="28"/>
          <w:szCs w:val="28"/>
        </w:rPr>
        <w:t>legislações</w:t>
      </w:r>
      <w:r w:rsidR="00F71E9F">
        <w:rPr>
          <w:rFonts w:ascii="Times New Roman" w:hAnsi="Times New Roman"/>
          <w:sz w:val="28"/>
          <w:szCs w:val="28"/>
        </w:rPr>
        <w:t xml:space="preserve"> anteriores. Aduziu que os valores relativos aos honorários de sucumbência não configuram verbas públicas</w:t>
      </w:r>
      <w:r w:rsidR="003B594F">
        <w:rPr>
          <w:rFonts w:ascii="Times New Roman" w:hAnsi="Times New Roman"/>
          <w:sz w:val="28"/>
          <w:szCs w:val="28"/>
        </w:rPr>
        <w:t xml:space="preserve">, consoante previsto no Código de Processo Civil. Asseverou que os honorários cuja vedação </w:t>
      </w:r>
      <w:r w:rsidR="00F97604">
        <w:rPr>
          <w:rFonts w:ascii="Times New Roman" w:hAnsi="Times New Roman"/>
          <w:sz w:val="28"/>
          <w:szCs w:val="28"/>
        </w:rPr>
        <w:t xml:space="preserve">ao recebimento </w:t>
      </w:r>
      <w:r w:rsidR="003B594F">
        <w:rPr>
          <w:rFonts w:ascii="Times New Roman" w:hAnsi="Times New Roman"/>
          <w:sz w:val="28"/>
          <w:szCs w:val="28"/>
        </w:rPr>
        <w:t>está expressa no artigo 116, §2º, inciso I, da Constituição Estadual</w:t>
      </w:r>
      <w:r w:rsidR="00847FF4">
        <w:rPr>
          <w:rFonts w:ascii="Times New Roman" w:hAnsi="Times New Roman"/>
          <w:sz w:val="28"/>
          <w:szCs w:val="28"/>
        </w:rPr>
        <w:t>,</w:t>
      </w:r>
      <w:r w:rsidR="003B594F">
        <w:rPr>
          <w:rFonts w:ascii="Times New Roman" w:hAnsi="Times New Roman"/>
          <w:sz w:val="28"/>
          <w:szCs w:val="28"/>
        </w:rPr>
        <w:t xml:space="preserve"> são diversos daqueles decorrentes da sucumbência em processo judicial</w:t>
      </w:r>
      <w:r w:rsidR="00B435D5">
        <w:rPr>
          <w:rFonts w:ascii="Times New Roman" w:hAnsi="Times New Roman"/>
          <w:sz w:val="28"/>
          <w:szCs w:val="28"/>
        </w:rPr>
        <w:t>, mesmo porque</w:t>
      </w:r>
      <w:r w:rsidR="00A911A7">
        <w:rPr>
          <w:rFonts w:ascii="Times New Roman" w:hAnsi="Times New Roman"/>
          <w:sz w:val="28"/>
          <w:szCs w:val="28"/>
        </w:rPr>
        <w:t>,</w:t>
      </w:r>
      <w:r w:rsidR="00B435D5">
        <w:rPr>
          <w:rFonts w:ascii="Times New Roman" w:hAnsi="Times New Roman"/>
          <w:sz w:val="28"/>
          <w:szCs w:val="28"/>
        </w:rPr>
        <w:t xml:space="preserve"> se</w:t>
      </w:r>
      <w:r w:rsidR="00A911A7">
        <w:rPr>
          <w:rFonts w:ascii="Times New Roman" w:hAnsi="Times New Roman"/>
          <w:sz w:val="28"/>
          <w:szCs w:val="28"/>
        </w:rPr>
        <w:t xml:space="preserve"> o aludido dispositivo</w:t>
      </w:r>
      <w:r w:rsidR="00B435D5">
        <w:rPr>
          <w:rFonts w:ascii="Times New Roman" w:hAnsi="Times New Roman"/>
          <w:sz w:val="28"/>
          <w:szCs w:val="28"/>
        </w:rPr>
        <w:t xml:space="preserve"> tratasse de norma de natureza processual</w:t>
      </w:r>
      <w:r w:rsidR="00A911A7">
        <w:rPr>
          <w:rFonts w:ascii="Times New Roman" w:hAnsi="Times New Roman"/>
          <w:sz w:val="28"/>
          <w:szCs w:val="28"/>
        </w:rPr>
        <w:t>,</w:t>
      </w:r>
      <w:r w:rsidR="00B435D5">
        <w:rPr>
          <w:rFonts w:ascii="Times New Roman" w:hAnsi="Times New Roman"/>
          <w:sz w:val="28"/>
          <w:szCs w:val="28"/>
        </w:rPr>
        <w:t xml:space="preserve"> afrontaria a competência privativa da União para legislar </w:t>
      </w:r>
      <w:r w:rsidR="0046628F">
        <w:rPr>
          <w:rFonts w:ascii="Times New Roman" w:hAnsi="Times New Roman"/>
          <w:sz w:val="28"/>
          <w:szCs w:val="28"/>
        </w:rPr>
        <w:t>a respeito</w:t>
      </w:r>
      <w:r w:rsidR="00BE2EC7">
        <w:rPr>
          <w:rFonts w:ascii="Times New Roman" w:hAnsi="Times New Roman"/>
          <w:sz w:val="28"/>
          <w:szCs w:val="28"/>
        </w:rPr>
        <w:t xml:space="preserve"> </w:t>
      </w:r>
      <w:r w:rsidR="00C06FB0">
        <w:rPr>
          <w:rFonts w:ascii="Times New Roman" w:hAnsi="Times New Roman"/>
          <w:sz w:val="28"/>
          <w:szCs w:val="28"/>
        </w:rPr>
        <w:t>e</w:t>
      </w:r>
      <w:r w:rsidR="00E7631F">
        <w:rPr>
          <w:rFonts w:ascii="Times New Roman" w:hAnsi="Times New Roman"/>
          <w:sz w:val="28"/>
          <w:szCs w:val="28"/>
        </w:rPr>
        <w:t xml:space="preserve">, acaso </w:t>
      </w:r>
      <w:r w:rsidR="00BE2EC7">
        <w:rPr>
          <w:rFonts w:ascii="Times New Roman" w:hAnsi="Times New Roman"/>
          <w:sz w:val="28"/>
          <w:szCs w:val="28"/>
        </w:rPr>
        <w:t>dispusesse sobre</w:t>
      </w:r>
      <w:r w:rsidR="00E7631F">
        <w:rPr>
          <w:rFonts w:ascii="Times New Roman" w:hAnsi="Times New Roman"/>
          <w:sz w:val="28"/>
          <w:szCs w:val="28"/>
        </w:rPr>
        <w:t xml:space="preserve"> norma procedimental, teria sua eficácia suspensa desde a edição do Código de Processo Civil de 2015.</w:t>
      </w:r>
      <w:r w:rsidR="00DF61DF">
        <w:rPr>
          <w:rFonts w:ascii="Times New Roman" w:hAnsi="Times New Roman"/>
          <w:sz w:val="28"/>
          <w:szCs w:val="28"/>
        </w:rPr>
        <w:t xml:space="preserve"> Afirmou que, </w:t>
      </w:r>
      <w:r w:rsidR="00A95E5F">
        <w:rPr>
          <w:rFonts w:ascii="Times New Roman" w:hAnsi="Times New Roman"/>
          <w:sz w:val="28"/>
          <w:szCs w:val="28"/>
        </w:rPr>
        <w:t>mesmo na hipótese de</w:t>
      </w:r>
      <w:r w:rsidR="00DF61DF">
        <w:rPr>
          <w:rFonts w:ascii="Times New Roman" w:hAnsi="Times New Roman"/>
          <w:sz w:val="28"/>
          <w:szCs w:val="28"/>
        </w:rPr>
        <w:t xml:space="preserve"> se entend</w:t>
      </w:r>
      <w:r w:rsidR="00A95E5F">
        <w:rPr>
          <w:rFonts w:ascii="Times New Roman" w:hAnsi="Times New Roman"/>
          <w:sz w:val="28"/>
          <w:szCs w:val="28"/>
        </w:rPr>
        <w:t>er</w:t>
      </w:r>
      <w:r w:rsidR="00DF61DF">
        <w:rPr>
          <w:rFonts w:ascii="Times New Roman" w:hAnsi="Times New Roman"/>
          <w:sz w:val="28"/>
          <w:szCs w:val="28"/>
        </w:rPr>
        <w:t xml:space="preserve"> que os honorários possuem natureza remuneratória, a Constituição Estadual do Rio Grande do Sul também estaria eivada de inconstitucionalidade, </w:t>
      </w:r>
      <w:r w:rsidR="002B58B0">
        <w:rPr>
          <w:rFonts w:ascii="Times New Roman" w:hAnsi="Times New Roman"/>
          <w:sz w:val="28"/>
          <w:szCs w:val="28"/>
        </w:rPr>
        <w:t xml:space="preserve">pois a iniciativa </w:t>
      </w:r>
      <w:r w:rsidR="00A95E5F">
        <w:rPr>
          <w:rFonts w:ascii="Times New Roman" w:hAnsi="Times New Roman"/>
          <w:sz w:val="28"/>
          <w:szCs w:val="28"/>
        </w:rPr>
        <w:t xml:space="preserve">para legislar </w:t>
      </w:r>
      <w:r w:rsidR="00DF61DF">
        <w:rPr>
          <w:rFonts w:ascii="Times New Roman" w:hAnsi="Times New Roman"/>
          <w:sz w:val="28"/>
          <w:szCs w:val="28"/>
        </w:rPr>
        <w:t>sobre o assunto</w:t>
      </w:r>
      <w:r w:rsidR="002B58B0">
        <w:rPr>
          <w:rFonts w:ascii="Times New Roman" w:hAnsi="Times New Roman"/>
          <w:sz w:val="28"/>
          <w:szCs w:val="28"/>
        </w:rPr>
        <w:t xml:space="preserve"> é reservada ao Chefe do Poder Executivo</w:t>
      </w:r>
      <w:r w:rsidR="00DF61DF">
        <w:rPr>
          <w:rFonts w:ascii="Times New Roman" w:hAnsi="Times New Roman"/>
          <w:sz w:val="28"/>
          <w:szCs w:val="28"/>
        </w:rPr>
        <w:t>.</w:t>
      </w:r>
      <w:r w:rsidR="003243E4">
        <w:rPr>
          <w:rFonts w:ascii="Times New Roman" w:hAnsi="Times New Roman"/>
          <w:sz w:val="28"/>
          <w:szCs w:val="28"/>
        </w:rPr>
        <w:t xml:space="preserve"> Apontou que a Constituição Federal não veda</w:t>
      </w:r>
      <w:r w:rsidR="00DD555F">
        <w:rPr>
          <w:rFonts w:ascii="Times New Roman" w:hAnsi="Times New Roman"/>
          <w:sz w:val="28"/>
          <w:szCs w:val="28"/>
        </w:rPr>
        <w:t xml:space="preserve"> a percepção de honorários por advogados públicos, sendo que a Constituição Estadual, por simetria, também não pode fazê-lo.</w:t>
      </w:r>
      <w:r w:rsidR="002B58B0">
        <w:rPr>
          <w:rFonts w:ascii="Times New Roman" w:hAnsi="Times New Roman"/>
          <w:sz w:val="28"/>
          <w:szCs w:val="28"/>
        </w:rPr>
        <w:t xml:space="preserve"> Defendeu não estarem presentes, no caso, os requisitos para a concessão da medida cautelar</w:t>
      </w:r>
      <w:r w:rsidR="0068018C">
        <w:rPr>
          <w:rFonts w:ascii="Times New Roman" w:hAnsi="Times New Roman"/>
          <w:sz w:val="28"/>
          <w:szCs w:val="28"/>
        </w:rPr>
        <w:t xml:space="preserve"> (fls. 106</w:t>
      </w:r>
      <w:r w:rsidR="0046628F">
        <w:rPr>
          <w:rFonts w:ascii="Times New Roman" w:hAnsi="Times New Roman"/>
          <w:sz w:val="28"/>
          <w:szCs w:val="28"/>
        </w:rPr>
        <w:t>-</w:t>
      </w:r>
      <w:r w:rsidR="0075752F">
        <w:rPr>
          <w:rFonts w:ascii="Times New Roman" w:hAnsi="Times New Roman"/>
          <w:sz w:val="28"/>
          <w:szCs w:val="28"/>
        </w:rPr>
        <w:t>127)</w:t>
      </w:r>
      <w:r w:rsidR="002B58B0">
        <w:rPr>
          <w:rFonts w:ascii="Times New Roman" w:hAnsi="Times New Roman"/>
          <w:sz w:val="28"/>
          <w:szCs w:val="28"/>
        </w:rPr>
        <w:t>.</w:t>
      </w:r>
      <w:r w:rsidR="0075752F">
        <w:rPr>
          <w:rFonts w:ascii="Times New Roman" w:hAnsi="Times New Roman"/>
          <w:sz w:val="28"/>
          <w:szCs w:val="28"/>
        </w:rPr>
        <w:t xml:space="preserve"> Acostou documentos (fls. 128</w:t>
      </w:r>
      <w:r w:rsidR="0046628F">
        <w:rPr>
          <w:rFonts w:ascii="Times New Roman" w:hAnsi="Times New Roman"/>
          <w:sz w:val="28"/>
          <w:szCs w:val="28"/>
        </w:rPr>
        <w:t>-</w:t>
      </w:r>
      <w:r w:rsidR="005E298C">
        <w:rPr>
          <w:rFonts w:ascii="Times New Roman" w:hAnsi="Times New Roman"/>
          <w:sz w:val="28"/>
          <w:szCs w:val="28"/>
        </w:rPr>
        <w:t>154).</w:t>
      </w:r>
    </w:p>
    <w:p w:rsidR="006774D2" w:rsidRDefault="001F7D53"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O Procurador-Geral do Estado apresentou manifestação preliminar. Arguiu, em caráter prefacial, </w:t>
      </w:r>
      <w:r w:rsidR="004B2279">
        <w:rPr>
          <w:rFonts w:ascii="Times New Roman" w:hAnsi="Times New Roman"/>
          <w:sz w:val="28"/>
          <w:szCs w:val="28"/>
        </w:rPr>
        <w:t xml:space="preserve">a prevenção da competência do Desembargador Jorge Luís </w:t>
      </w:r>
      <w:proofErr w:type="spellStart"/>
      <w:proofErr w:type="gramStart"/>
      <w:r w:rsidR="004B2279">
        <w:rPr>
          <w:rFonts w:ascii="Times New Roman" w:hAnsi="Times New Roman"/>
          <w:sz w:val="28"/>
          <w:szCs w:val="28"/>
        </w:rPr>
        <w:t>Dall’Agnol</w:t>
      </w:r>
      <w:proofErr w:type="spellEnd"/>
      <w:proofErr w:type="gramEnd"/>
      <w:r w:rsidR="004B2279">
        <w:rPr>
          <w:rFonts w:ascii="Times New Roman" w:hAnsi="Times New Roman"/>
          <w:sz w:val="28"/>
          <w:szCs w:val="28"/>
        </w:rPr>
        <w:t xml:space="preserve">, relator da </w:t>
      </w:r>
      <w:r w:rsidR="00CA3BE0">
        <w:rPr>
          <w:rFonts w:ascii="Times New Roman" w:hAnsi="Times New Roman"/>
          <w:sz w:val="28"/>
          <w:szCs w:val="28"/>
        </w:rPr>
        <w:t>ADI</w:t>
      </w:r>
      <w:r w:rsidR="004B2279">
        <w:rPr>
          <w:rFonts w:ascii="Times New Roman" w:hAnsi="Times New Roman"/>
          <w:sz w:val="28"/>
          <w:szCs w:val="28"/>
        </w:rPr>
        <w:t xml:space="preserve"> </w:t>
      </w:r>
      <w:r w:rsidR="005B388F">
        <w:rPr>
          <w:rFonts w:ascii="Times New Roman" w:hAnsi="Times New Roman"/>
          <w:sz w:val="28"/>
          <w:szCs w:val="28"/>
        </w:rPr>
        <w:t xml:space="preserve">n.º </w:t>
      </w:r>
      <w:r w:rsidR="005B388F" w:rsidRPr="005B388F">
        <w:rPr>
          <w:rFonts w:ascii="Times New Roman" w:hAnsi="Times New Roman"/>
          <w:sz w:val="28"/>
          <w:szCs w:val="28"/>
        </w:rPr>
        <w:t>0327307-79.2019.8.21.7000, proposta pela Associação dos Procuradores do Estado do Rio</w:t>
      </w:r>
      <w:r w:rsidR="005B388F">
        <w:rPr>
          <w:rFonts w:ascii="Times New Roman" w:hAnsi="Times New Roman"/>
          <w:sz w:val="28"/>
          <w:szCs w:val="28"/>
        </w:rPr>
        <w:t xml:space="preserve"> </w:t>
      </w:r>
      <w:r w:rsidR="005B388F" w:rsidRPr="005B388F">
        <w:rPr>
          <w:rFonts w:ascii="Times New Roman" w:hAnsi="Times New Roman"/>
          <w:sz w:val="28"/>
          <w:szCs w:val="28"/>
        </w:rPr>
        <w:t xml:space="preserve">Grande do Sul – APERGS e pelo </w:t>
      </w:r>
      <w:r w:rsidR="005B388F" w:rsidRPr="005B388F">
        <w:rPr>
          <w:rFonts w:ascii="Times New Roman" w:hAnsi="Times New Roman"/>
          <w:sz w:val="28"/>
          <w:szCs w:val="28"/>
        </w:rPr>
        <w:lastRenderedPageBreak/>
        <w:t>Sindicato dos Servidores da Procuradoria-Geral do Estado</w:t>
      </w:r>
      <w:r w:rsidR="005B388F">
        <w:rPr>
          <w:rFonts w:ascii="Times New Roman" w:hAnsi="Times New Roman"/>
          <w:sz w:val="28"/>
          <w:szCs w:val="28"/>
        </w:rPr>
        <w:t xml:space="preserve"> </w:t>
      </w:r>
      <w:r w:rsidR="005B388F" w:rsidRPr="005B388F">
        <w:rPr>
          <w:rFonts w:ascii="Times New Roman" w:hAnsi="Times New Roman"/>
          <w:sz w:val="28"/>
          <w:szCs w:val="28"/>
        </w:rPr>
        <w:t>– SINDISPGE/RS</w:t>
      </w:r>
      <w:r w:rsidR="00253C97">
        <w:rPr>
          <w:rFonts w:ascii="Times New Roman" w:hAnsi="Times New Roman"/>
          <w:sz w:val="28"/>
          <w:szCs w:val="28"/>
        </w:rPr>
        <w:t>,</w:t>
      </w:r>
      <w:r w:rsidR="005B388F" w:rsidRPr="005B388F">
        <w:rPr>
          <w:rFonts w:ascii="Times New Roman" w:hAnsi="Times New Roman"/>
          <w:sz w:val="28"/>
          <w:szCs w:val="28"/>
        </w:rPr>
        <w:t xml:space="preserve"> </w:t>
      </w:r>
      <w:r w:rsidR="00E4440D">
        <w:rPr>
          <w:rFonts w:ascii="Times New Roman" w:hAnsi="Times New Roman"/>
          <w:sz w:val="28"/>
          <w:szCs w:val="28"/>
        </w:rPr>
        <w:t>tendo por objetivo a declaração da inconstitucionalidade</w:t>
      </w:r>
      <w:r w:rsidR="005B388F" w:rsidRPr="005B388F">
        <w:rPr>
          <w:rFonts w:ascii="Times New Roman" w:hAnsi="Times New Roman"/>
          <w:sz w:val="28"/>
          <w:szCs w:val="28"/>
        </w:rPr>
        <w:t xml:space="preserve"> d</w:t>
      </w:r>
      <w:r w:rsidR="006774D2">
        <w:rPr>
          <w:rFonts w:ascii="Times New Roman" w:hAnsi="Times New Roman"/>
          <w:sz w:val="28"/>
          <w:szCs w:val="28"/>
        </w:rPr>
        <w:t>o Decreto Legislativo n.º 11.219/2019</w:t>
      </w:r>
      <w:r w:rsidR="00B401C1">
        <w:rPr>
          <w:rFonts w:ascii="Times New Roman" w:hAnsi="Times New Roman"/>
          <w:sz w:val="28"/>
          <w:szCs w:val="28"/>
        </w:rPr>
        <w:t>; requereu, ainda</w:t>
      </w:r>
      <w:r w:rsidR="003C6869">
        <w:rPr>
          <w:rFonts w:ascii="Times New Roman" w:hAnsi="Times New Roman"/>
          <w:sz w:val="28"/>
          <w:szCs w:val="28"/>
        </w:rPr>
        <w:t xml:space="preserve"> em sede </w:t>
      </w:r>
      <w:r w:rsidR="007E6A08">
        <w:rPr>
          <w:rFonts w:ascii="Times New Roman" w:hAnsi="Times New Roman"/>
          <w:sz w:val="28"/>
          <w:szCs w:val="28"/>
        </w:rPr>
        <w:t>preliminar</w:t>
      </w:r>
      <w:r w:rsidR="003C6869">
        <w:rPr>
          <w:rFonts w:ascii="Times New Roman" w:hAnsi="Times New Roman"/>
          <w:sz w:val="28"/>
          <w:szCs w:val="28"/>
        </w:rPr>
        <w:t>, o indeferimento da petição inicial, por manifesta improcedência</w:t>
      </w:r>
      <w:r w:rsidR="00F340E4">
        <w:rPr>
          <w:rFonts w:ascii="Times New Roman" w:hAnsi="Times New Roman"/>
          <w:sz w:val="28"/>
          <w:szCs w:val="28"/>
        </w:rPr>
        <w:t xml:space="preserve"> do pedido</w:t>
      </w:r>
      <w:r w:rsidR="000B2EA2">
        <w:rPr>
          <w:rFonts w:ascii="Times New Roman" w:hAnsi="Times New Roman"/>
          <w:sz w:val="28"/>
          <w:szCs w:val="28"/>
        </w:rPr>
        <w:t>, pois o Supremo Tribunal Federal</w:t>
      </w:r>
      <w:r w:rsidR="003B5F92">
        <w:rPr>
          <w:rFonts w:ascii="Times New Roman" w:hAnsi="Times New Roman"/>
          <w:sz w:val="28"/>
          <w:szCs w:val="28"/>
        </w:rPr>
        <w:t xml:space="preserve"> (</w:t>
      </w:r>
      <w:r w:rsidR="000B2EA2">
        <w:rPr>
          <w:rFonts w:ascii="Times New Roman" w:hAnsi="Times New Roman"/>
          <w:sz w:val="28"/>
          <w:szCs w:val="28"/>
        </w:rPr>
        <w:t>A</w:t>
      </w:r>
      <w:r w:rsidR="00C41549">
        <w:rPr>
          <w:rFonts w:ascii="Times New Roman" w:hAnsi="Times New Roman"/>
          <w:sz w:val="28"/>
          <w:szCs w:val="28"/>
        </w:rPr>
        <w:t>DI</w:t>
      </w:r>
      <w:r w:rsidR="003B5F92">
        <w:rPr>
          <w:rFonts w:ascii="Times New Roman" w:hAnsi="Times New Roman"/>
          <w:sz w:val="28"/>
          <w:szCs w:val="28"/>
        </w:rPr>
        <w:t xml:space="preserve"> n.º</w:t>
      </w:r>
      <w:r w:rsidR="00C41549">
        <w:rPr>
          <w:rFonts w:ascii="Times New Roman" w:hAnsi="Times New Roman"/>
          <w:sz w:val="28"/>
          <w:szCs w:val="28"/>
        </w:rPr>
        <w:t xml:space="preserve"> 6.183</w:t>
      </w:r>
      <w:r w:rsidR="003B5F92">
        <w:rPr>
          <w:rFonts w:ascii="Times New Roman" w:hAnsi="Times New Roman"/>
          <w:sz w:val="28"/>
          <w:szCs w:val="28"/>
        </w:rPr>
        <w:t>)</w:t>
      </w:r>
      <w:r w:rsidR="00C41549">
        <w:rPr>
          <w:rFonts w:ascii="Times New Roman" w:hAnsi="Times New Roman"/>
          <w:sz w:val="28"/>
          <w:szCs w:val="28"/>
        </w:rPr>
        <w:t xml:space="preserve">, </w:t>
      </w:r>
      <w:r w:rsidR="008B70BF">
        <w:rPr>
          <w:rFonts w:ascii="Times New Roman" w:hAnsi="Times New Roman"/>
          <w:sz w:val="28"/>
          <w:szCs w:val="28"/>
        </w:rPr>
        <w:t xml:space="preserve">em decisão de natureza </w:t>
      </w:r>
      <w:r w:rsidR="00B85BC5">
        <w:rPr>
          <w:rFonts w:ascii="Times New Roman" w:hAnsi="Times New Roman"/>
          <w:sz w:val="28"/>
          <w:szCs w:val="28"/>
        </w:rPr>
        <w:t>vinculante,</w:t>
      </w:r>
      <w:r w:rsidR="00BC4545">
        <w:rPr>
          <w:rFonts w:ascii="Times New Roman" w:hAnsi="Times New Roman"/>
          <w:sz w:val="28"/>
          <w:szCs w:val="28"/>
        </w:rPr>
        <w:t xml:space="preserve"> </w:t>
      </w:r>
      <w:r w:rsidR="008D4A2B">
        <w:rPr>
          <w:rFonts w:ascii="Times New Roman" w:hAnsi="Times New Roman"/>
          <w:sz w:val="28"/>
          <w:szCs w:val="28"/>
        </w:rPr>
        <w:t>e o Tribunal de Justiça do Rio Grande do Sul</w:t>
      </w:r>
      <w:r w:rsidR="003B5F92">
        <w:rPr>
          <w:rFonts w:ascii="Times New Roman" w:hAnsi="Times New Roman"/>
          <w:sz w:val="28"/>
          <w:szCs w:val="28"/>
        </w:rPr>
        <w:t xml:space="preserve"> (ADI </w:t>
      </w:r>
      <w:r w:rsidR="00D20F9A">
        <w:rPr>
          <w:rFonts w:ascii="Times New Roman" w:hAnsi="Times New Roman"/>
          <w:sz w:val="28"/>
          <w:szCs w:val="28"/>
        </w:rPr>
        <w:t xml:space="preserve">n.º </w:t>
      </w:r>
      <w:r w:rsidR="00D20F9A" w:rsidRPr="00D20F9A">
        <w:rPr>
          <w:rFonts w:ascii="Times New Roman" w:hAnsi="Times New Roman"/>
          <w:sz w:val="28"/>
          <w:szCs w:val="28"/>
        </w:rPr>
        <w:t>0327307-79.2019.8.21.7000</w:t>
      </w:r>
      <w:r w:rsidR="003B5F92">
        <w:rPr>
          <w:rFonts w:ascii="Times New Roman" w:hAnsi="Times New Roman"/>
          <w:sz w:val="28"/>
          <w:szCs w:val="28"/>
        </w:rPr>
        <w:t>)</w:t>
      </w:r>
      <w:r w:rsidR="00D20F9A">
        <w:rPr>
          <w:rFonts w:ascii="Times New Roman" w:hAnsi="Times New Roman"/>
          <w:sz w:val="28"/>
          <w:szCs w:val="28"/>
        </w:rPr>
        <w:t xml:space="preserve">, </w:t>
      </w:r>
      <w:r w:rsidR="003B5F92">
        <w:rPr>
          <w:rFonts w:ascii="Times New Roman" w:hAnsi="Times New Roman"/>
          <w:sz w:val="28"/>
          <w:szCs w:val="28"/>
        </w:rPr>
        <w:t>já apreciaram a matéria</w:t>
      </w:r>
      <w:r w:rsidR="00C60FFA">
        <w:rPr>
          <w:rFonts w:ascii="Times New Roman" w:hAnsi="Times New Roman"/>
          <w:sz w:val="28"/>
          <w:szCs w:val="28"/>
        </w:rPr>
        <w:t xml:space="preserve"> de fundo</w:t>
      </w:r>
      <w:r w:rsidR="00E711E9">
        <w:rPr>
          <w:rFonts w:ascii="Times New Roman" w:hAnsi="Times New Roman"/>
          <w:sz w:val="28"/>
          <w:szCs w:val="28"/>
        </w:rPr>
        <w:t>, sendo que ambas as decisões transitaram em julgado</w:t>
      </w:r>
      <w:r w:rsidR="003B5F92">
        <w:rPr>
          <w:rFonts w:ascii="Times New Roman" w:hAnsi="Times New Roman"/>
          <w:sz w:val="28"/>
          <w:szCs w:val="28"/>
        </w:rPr>
        <w:t xml:space="preserve">; suscitou, nessa linha, </w:t>
      </w:r>
      <w:r w:rsidR="00CE34F9">
        <w:rPr>
          <w:rFonts w:ascii="Times New Roman" w:hAnsi="Times New Roman"/>
          <w:sz w:val="28"/>
          <w:szCs w:val="28"/>
        </w:rPr>
        <w:t>a impossibilidade de rediscussão da constitucionalidade dos atos normativos impugnados</w:t>
      </w:r>
      <w:r w:rsidR="00251CD3">
        <w:rPr>
          <w:rFonts w:ascii="Times New Roman" w:hAnsi="Times New Roman"/>
          <w:sz w:val="28"/>
          <w:szCs w:val="28"/>
        </w:rPr>
        <w:t>.</w:t>
      </w:r>
      <w:r w:rsidR="00370C41">
        <w:rPr>
          <w:rFonts w:ascii="Times New Roman" w:hAnsi="Times New Roman"/>
          <w:sz w:val="28"/>
          <w:szCs w:val="28"/>
        </w:rPr>
        <w:t xml:space="preserve"> No mérito, </w:t>
      </w:r>
      <w:r w:rsidR="00C60FFA">
        <w:rPr>
          <w:rFonts w:ascii="Times New Roman" w:hAnsi="Times New Roman"/>
          <w:sz w:val="28"/>
          <w:szCs w:val="28"/>
        </w:rPr>
        <w:t>defendeu a constitucionalidade da</w:t>
      </w:r>
      <w:r w:rsidR="00370C41">
        <w:rPr>
          <w:rFonts w:ascii="Times New Roman" w:hAnsi="Times New Roman"/>
          <w:sz w:val="28"/>
          <w:szCs w:val="28"/>
        </w:rPr>
        <w:t xml:space="preserve"> Resolução n.º 151/2019</w:t>
      </w:r>
      <w:r w:rsidR="00AB66C7">
        <w:rPr>
          <w:rFonts w:ascii="Times New Roman" w:hAnsi="Times New Roman"/>
          <w:sz w:val="28"/>
          <w:szCs w:val="28"/>
        </w:rPr>
        <w:t>-PGE/RS</w:t>
      </w:r>
      <w:r w:rsidR="00A23F92">
        <w:rPr>
          <w:rFonts w:ascii="Times New Roman" w:hAnsi="Times New Roman"/>
          <w:sz w:val="28"/>
          <w:szCs w:val="28"/>
        </w:rPr>
        <w:t>.</w:t>
      </w:r>
      <w:r w:rsidR="002A56CB">
        <w:rPr>
          <w:rFonts w:ascii="Times New Roman" w:hAnsi="Times New Roman"/>
          <w:sz w:val="28"/>
          <w:szCs w:val="28"/>
        </w:rPr>
        <w:t xml:space="preserve"> Reforçou que tod</w:t>
      </w:r>
      <w:r w:rsidR="00C60FFA">
        <w:rPr>
          <w:rFonts w:ascii="Times New Roman" w:hAnsi="Times New Roman"/>
          <w:sz w:val="28"/>
          <w:szCs w:val="28"/>
        </w:rPr>
        <w:t>o o plexo normativo que ampara</w:t>
      </w:r>
      <w:r w:rsidR="002A56CB">
        <w:rPr>
          <w:rFonts w:ascii="Times New Roman" w:hAnsi="Times New Roman"/>
          <w:sz w:val="28"/>
          <w:szCs w:val="28"/>
        </w:rPr>
        <w:t xml:space="preserve"> o pagamento d</w:t>
      </w:r>
      <w:r w:rsidR="00C60FFA">
        <w:rPr>
          <w:rFonts w:ascii="Times New Roman" w:hAnsi="Times New Roman"/>
          <w:sz w:val="28"/>
          <w:szCs w:val="28"/>
        </w:rPr>
        <w:t>e</w:t>
      </w:r>
      <w:r w:rsidR="002A56CB">
        <w:rPr>
          <w:rFonts w:ascii="Times New Roman" w:hAnsi="Times New Roman"/>
          <w:sz w:val="28"/>
          <w:szCs w:val="28"/>
        </w:rPr>
        <w:t xml:space="preserve"> honorários sucumbenciais aos Procuradores do Estado do Rio Grande do Sul </w:t>
      </w:r>
      <w:r w:rsidR="00C60FFA">
        <w:rPr>
          <w:rFonts w:ascii="Times New Roman" w:hAnsi="Times New Roman"/>
          <w:sz w:val="28"/>
          <w:szCs w:val="28"/>
        </w:rPr>
        <w:t>foi declarado</w:t>
      </w:r>
      <w:r w:rsidR="00780C2F">
        <w:rPr>
          <w:rFonts w:ascii="Times New Roman" w:hAnsi="Times New Roman"/>
          <w:sz w:val="28"/>
          <w:szCs w:val="28"/>
        </w:rPr>
        <w:t xml:space="preserve"> constituciona</w:t>
      </w:r>
      <w:r w:rsidR="00C60FFA">
        <w:rPr>
          <w:rFonts w:ascii="Times New Roman" w:hAnsi="Times New Roman"/>
          <w:sz w:val="28"/>
          <w:szCs w:val="28"/>
        </w:rPr>
        <w:t>l</w:t>
      </w:r>
      <w:r w:rsidR="00780C2F">
        <w:rPr>
          <w:rFonts w:ascii="Times New Roman" w:hAnsi="Times New Roman"/>
          <w:sz w:val="28"/>
          <w:szCs w:val="28"/>
        </w:rPr>
        <w:t xml:space="preserve"> pelo Supremo Tribunal Federal, em decisão com força vinculante.</w:t>
      </w:r>
      <w:r w:rsidR="00701BC7">
        <w:rPr>
          <w:rFonts w:ascii="Times New Roman" w:hAnsi="Times New Roman"/>
          <w:sz w:val="28"/>
          <w:szCs w:val="28"/>
        </w:rPr>
        <w:t xml:space="preserve"> </w:t>
      </w:r>
      <w:r w:rsidR="00E47327">
        <w:rPr>
          <w:rFonts w:ascii="Times New Roman" w:hAnsi="Times New Roman"/>
          <w:sz w:val="28"/>
          <w:szCs w:val="28"/>
        </w:rPr>
        <w:t xml:space="preserve">Afirmou </w:t>
      </w:r>
      <w:r w:rsidR="00F13266">
        <w:rPr>
          <w:rFonts w:ascii="Times New Roman" w:hAnsi="Times New Roman"/>
          <w:sz w:val="28"/>
          <w:szCs w:val="28"/>
        </w:rPr>
        <w:t>que</w:t>
      </w:r>
      <w:r w:rsidR="00E47327">
        <w:rPr>
          <w:rFonts w:ascii="Times New Roman" w:hAnsi="Times New Roman"/>
          <w:sz w:val="28"/>
          <w:szCs w:val="28"/>
        </w:rPr>
        <w:t xml:space="preserve"> </w:t>
      </w:r>
      <w:r w:rsidR="00180F60">
        <w:rPr>
          <w:rFonts w:ascii="Times New Roman" w:hAnsi="Times New Roman"/>
          <w:sz w:val="28"/>
          <w:szCs w:val="28"/>
        </w:rPr>
        <w:t>a Lei n.º 10.298/1994, com a redação conferida pela</w:t>
      </w:r>
      <w:r w:rsidR="00E47327">
        <w:rPr>
          <w:rFonts w:ascii="Times New Roman" w:hAnsi="Times New Roman"/>
          <w:sz w:val="28"/>
          <w:szCs w:val="28"/>
        </w:rPr>
        <w:t xml:space="preserve"> Lei Estadual n.º 12.222/04</w:t>
      </w:r>
      <w:r w:rsidR="00180F60">
        <w:rPr>
          <w:rFonts w:ascii="Times New Roman" w:hAnsi="Times New Roman"/>
          <w:sz w:val="28"/>
          <w:szCs w:val="28"/>
        </w:rPr>
        <w:t xml:space="preserve">, </w:t>
      </w:r>
      <w:r w:rsidR="000929F4">
        <w:rPr>
          <w:rFonts w:ascii="Times New Roman" w:hAnsi="Times New Roman"/>
          <w:sz w:val="28"/>
          <w:szCs w:val="28"/>
        </w:rPr>
        <w:t>restou regulamentada ainda no ano de 2005</w:t>
      </w:r>
      <w:r w:rsidR="00C121B7">
        <w:rPr>
          <w:rFonts w:ascii="Times New Roman" w:hAnsi="Times New Roman"/>
          <w:sz w:val="28"/>
          <w:szCs w:val="28"/>
        </w:rPr>
        <w:t>,</w:t>
      </w:r>
      <w:r w:rsidR="000929F4">
        <w:rPr>
          <w:rFonts w:ascii="Times New Roman" w:hAnsi="Times New Roman"/>
          <w:sz w:val="28"/>
          <w:szCs w:val="28"/>
        </w:rPr>
        <w:t xml:space="preserve"> pelo então Governador Germano Rigotto e pela Resolução n.º 5/2005-PGE/RS, </w:t>
      </w:r>
      <w:r w:rsidR="00EF64E4">
        <w:rPr>
          <w:rFonts w:ascii="Times New Roman" w:hAnsi="Times New Roman"/>
          <w:sz w:val="28"/>
          <w:szCs w:val="28"/>
        </w:rPr>
        <w:t>a qual dispunha expressamente</w:t>
      </w:r>
      <w:r w:rsidR="00E9187D">
        <w:rPr>
          <w:rFonts w:ascii="Times New Roman" w:hAnsi="Times New Roman"/>
          <w:sz w:val="28"/>
          <w:szCs w:val="28"/>
        </w:rPr>
        <w:t>,</w:t>
      </w:r>
      <w:r w:rsidR="00EF64E4">
        <w:rPr>
          <w:rFonts w:ascii="Times New Roman" w:hAnsi="Times New Roman"/>
          <w:sz w:val="28"/>
          <w:szCs w:val="28"/>
        </w:rPr>
        <w:t xml:space="preserve"> em seu artigo 5º, alíneas </w:t>
      </w:r>
      <w:r w:rsidR="00EF64E4">
        <w:rPr>
          <w:rFonts w:ascii="Times New Roman" w:hAnsi="Times New Roman"/>
          <w:i/>
          <w:iCs/>
          <w:sz w:val="28"/>
          <w:szCs w:val="28"/>
        </w:rPr>
        <w:t xml:space="preserve">a </w:t>
      </w:r>
      <w:r w:rsidR="00EF64E4">
        <w:rPr>
          <w:rFonts w:ascii="Times New Roman" w:hAnsi="Times New Roman"/>
          <w:sz w:val="28"/>
          <w:szCs w:val="28"/>
        </w:rPr>
        <w:t xml:space="preserve">e </w:t>
      </w:r>
      <w:r w:rsidR="00EF64E4">
        <w:rPr>
          <w:rFonts w:ascii="Times New Roman" w:hAnsi="Times New Roman"/>
          <w:i/>
          <w:iCs/>
          <w:sz w:val="28"/>
          <w:szCs w:val="28"/>
        </w:rPr>
        <w:t>b</w:t>
      </w:r>
      <w:r w:rsidR="00E9187D">
        <w:rPr>
          <w:rFonts w:ascii="Times New Roman" w:hAnsi="Times New Roman"/>
          <w:sz w:val="28"/>
          <w:szCs w:val="28"/>
        </w:rPr>
        <w:t>,</w:t>
      </w:r>
      <w:r w:rsidR="00EF64E4">
        <w:rPr>
          <w:rFonts w:ascii="Times New Roman" w:hAnsi="Times New Roman"/>
          <w:sz w:val="28"/>
          <w:szCs w:val="28"/>
        </w:rPr>
        <w:t xml:space="preserve"> </w:t>
      </w:r>
      <w:r w:rsidR="007679AE">
        <w:rPr>
          <w:rFonts w:ascii="Times New Roman" w:hAnsi="Times New Roman"/>
          <w:sz w:val="28"/>
          <w:szCs w:val="28"/>
        </w:rPr>
        <w:t xml:space="preserve">que os honorários de sucumbência constituíam a principal fonte de custeio do prêmio de produtividade. </w:t>
      </w:r>
      <w:r w:rsidR="00F733FC">
        <w:rPr>
          <w:rFonts w:ascii="Times New Roman" w:hAnsi="Times New Roman"/>
          <w:sz w:val="28"/>
          <w:szCs w:val="28"/>
        </w:rPr>
        <w:t xml:space="preserve">Informou que o prêmio de produtividade foi cessado quando do início do pagamento da remuneração </w:t>
      </w:r>
      <w:r w:rsidR="003B5C4F">
        <w:rPr>
          <w:rFonts w:ascii="Times New Roman" w:hAnsi="Times New Roman"/>
          <w:sz w:val="28"/>
          <w:szCs w:val="28"/>
        </w:rPr>
        <w:t xml:space="preserve">dos Procuradores do Estado por meio </w:t>
      </w:r>
      <w:r w:rsidR="009034DA">
        <w:rPr>
          <w:rFonts w:ascii="Times New Roman" w:hAnsi="Times New Roman"/>
          <w:sz w:val="28"/>
          <w:szCs w:val="28"/>
        </w:rPr>
        <w:t>de subsídio</w:t>
      </w:r>
      <w:r w:rsidR="00124615">
        <w:rPr>
          <w:rFonts w:ascii="Times New Roman" w:hAnsi="Times New Roman"/>
          <w:sz w:val="28"/>
          <w:szCs w:val="28"/>
        </w:rPr>
        <w:t>s</w:t>
      </w:r>
      <w:r w:rsidR="009034DA">
        <w:rPr>
          <w:rFonts w:ascii="Times New Roman" w:hAnsi="Times New Roman"/>
          <w:sz w:val="28"/>
          <w:szCs w:val="28"/>
        </w:rPr>
        <w:t>, a partir de 1º de março de 2010,</w:t>
      </w:r>
      <w:r w:rsidR="00C60FFA">
        <w:rPr>
          <w:rFonts w:ascii="Times New Roman" w:hAnsi="Times New Roman"/>
          <w:sz w:val="28"/>
          <w:szCs w:val="28"/>
        </w:rPr>
        <w:t xml:space="preserve"> uma</w:t>
      </w:r>
      <w:r w:rsidR="009034DA">
        <w:rPr>
          <w:rFonts w:ascii="Times New Roman" w:hAnsi="Times New Roman"/>
          <w:sz w:val="28"/>
          <w:szCs w:val="28"/>
        </w:rPr>
        <w:t xml:space="preserve"> vez que somente após 2015 o Supremo Tribunal Federal reconheceu a </w:t>
      </w:r>
      <w:r w:rsidR="009034DA">
        <w:rPr>
          <w:rFonts w:ascii="Times New Roman" w:hAnsi="Times New Roman"/>
          <w:sz w:val="28"/>
          <w:szCs w:val="28"/>
        </w:rPr>
        <w:lastRenderedPageBreak/>
        <w:t>compatibilidade da percepção de honorários com</w:t>
      </w:r>
      <w:r w:rsidR="00124615">
        <w:rPr>
          <w:rFonts w:ascii="Times New Roman" w:hAnsi="Times New Roman"/>
          <w:sz w:val="28"/>
          <w:szCs w:val="28"/>
        </w:rPr>
        <w:t xml:space="preserve"> os</w:t>
      </w:r>
      <w:r w:rsidR="009034DA">
        <w:rPr>
          <w:rFonts w:ascii="Times New Roman" w:hAnsi="Times New Roman"/>
          <w:sz w:val="28"/>
          <w:szCs w:val="28"/>
        </w:rPr>
        <w:t xml:space="preserve"> subsídio</w:t>
      </w:r>
      <w:r w:rsidR="00124615">
        <w:rPr>
          <w:rFonts w:ascii="Times New Roman" w:hAnsi="Times New Roman"/>
          <w:sz w:val="28"/>
          <w:szCs w:val="28"/>
        </w:rPr>
        <w:t>s</w:t>
      </w:r>
      <w:r w:rsidR="009034DA">
        <w:rPr>
          <w:rFonts w:ascii="Times New Roman" w:hAnsi="Times New Roman"/>
          <w:sz w:val="28"/>
          <w:szCs w:val="28"/>
        </w:rPr>
        <w:t>.</w:t>
      </w:r>
      <w:r w:rsidR="007853F5">
        <w:rPr>
          <w:rFonts w:ascii="Times New Roman" w:hAnsi="Times New Roman"/>
          <w:sz w:val="28"/>
          <w:szCs w:val="28"/>
        </w:rPr>
        <w:t xml:space="preserve"> Asseverou que o proponente omitiu deliberadamente </w:t>
      </w:r>
      <w:r w:rsidR="007D7F3D">
        <w:rPr>
          <w:rFonts w:ascii="Times New Roman" w:hAnsi="Times New Roman"/>
          <w:sz w:val="28"/>
          <w:szCs w:val="28"/>
        </w:rPr>
        <w:t xml:space="preserve">dispositivos da Resolução n.º 151/2019 que são claros </w:t>
      </w:r>
      <w:r w:rsidR="006203AD">
        <w:rPr>
          <w:rFonts w:ascii="Times New Roman" w:hAnsi="Times New Roman"/>
          <w:sz w:val="28"/>
          <w:szCs w:val="28"/>
        </w:rPr>
        <w:t xml:space="preserve">quanto ao objetivo de emprestar maior eficiência e produtividade no âmbito da PGE/RS. </w:t>
      </w:r>
      <w:r w:rsidR="00135C6E">
        <w:rPr>
          <w:rFonts w:ascii="Times New Roman" w:hAnsi="Times New Roman"/>
          <w:sz w:val="28"/>
          <w:szCs w:val="28"/>
        </w:rPr>
        <w:t>Arrazoou</w:t>
      </w:r>
      <w:r w:rsidR="002F3B2E">
        <w:rPr>
          <w:rFonts w:ascii="Times New Roman" w:hAnsi="Times New Roman"/>
          <w:sz w:val="28"/>
          <w:szCs w:val="28"/>
        </w:rPr>
        <w:t xml:space="preserve">, nesse panorama, que a interpretação </w:t>
      </w:r>
      <w:r w:rsidR="00EF1D3F">
        <w:rPr>
          <w:rFonts w:ascii="Times New Roman" w:hAnsi="Times New Roman"/>
          <w:sz w:val="28"/>
          <w:szCs w:val="28"/>
        </w:rPr>
        <w:t>feita pelo proponente acerca da Lei Estadual n.º 12.222/04 está equivocada. Sustentou</w:t>
      </w:r>
      <w:r w:rsidR="00936111">
        <w:rPr>
          <w:rFonts w:ascii="Times New Roman" w:hAnsi="Times New Roman"/>
          <w:sz w:val="28"/>
          <w:szCs w:val="28"/>
        </w:rPr>
        <w:t xml:space="preserve"> </w:t>
      </w:r>
      <w:r w:rsidR="00EF1D3F">
        <w:rPr>
          <w:rFonts w:ascii="Times New Roman" w:hAnsi="Times New Roman"/>
          <w:sz w:val="28"/>
          <w:szCs w:val="28"/>
        </w:rPr>
        <w:t>a impossibilidade de suspensão cautelar da eficácia da Resolução n.º 151/2019-PGE/RS</w:t>
      </w:r>
      <w:r w:rsidR="00C72996">
        <w:rPr>
          <w:rFonts w:ascii="Times New Roman" w:hAnsi="Times New Roman"/>
          <w:sz w:val="28"/>
          <w:szCs w:val="28"/>
        </w:rPr>
        <w:t>, por ausência de verossimilhança</w:t>
      </w:r>
      <w:r w:rsidR="00FA66DA">
        <w:rPr>
          <w:rFonts w:ascii="Times New Roman" w:hAnsi="Times New Roman"/>
          <w:sz w:val="28"/>
          <w:szCs w:val="28"/>
        </w:rPr>
        <w:t>. Apontou impedimento para o exercício da advocacia por dois dos procuradores do proponente</w:t>
      </w:r>
      <w:r w:rsidR="00502113">
        <w:rPr>
          <w:rFonts w:ascii="Times New Roman" w:hAnsi="Times New Roman"/>
          <w:sz w:val="28"/>
          <w:szCs w:val="28"/>
        </w:rPr>
        <w:t xml:space="preserve"> (Pedro da Silva Moreira e Adriano de Veiga Medeiros)</w:t>
      </w:r>
      <w:r w:rsidR="00E84B16">
        <w:rPr>
          <w:rFonts w:ascii="Times New Roman" w:hAnsi="Times New Roman"/>
          <w:sz w:val="28"/>
          <w:szCs w:val="28"/>
        </w:rPr>
        <w:t xml:space="preserve">, pois </w:t>
      </w:r>
      <w:proofErr w:type="gramStart"/>
      <w:r w:rsidR="00E84B16">
        <w:rPr>
          <w:rFonts w:ascii="Times New Roman" w:hAnsi="Times New Roman"/>
          <w:sz w:val="28"/>
          <w:szCs w:val="28"/>
        </w:rPr>
        <w:t>são</w:t>
      </w:r>
      <w:proofErr w:type="gramEnd"/>
      <w:r w:rsidR="00E84B16">
        <w:rPr>
          <w:rFonts w:ascii="Times New Roman" w:hAnsi="Times New Roman"/>
          <w:sz w:val="28"/>
          <w:szCs w:val="28"/>
        </w:rPr>
        <w:t xml:space="preserve"> servidores comissionados da Assembleia Legislativa do Estado do Rio Grande do Sul</w:t>
      </w:r>
      <w:r w:rsidR="00746631">
        <w:rPr>
          <w:rFonts w:ascii="Times New Roman" w:hAnsi="Times New Roman"/>
          <w:sz w:val="28"/>
          <w:szCs w:val="28"/>
        </w:rPr>
        <w:t xml:space="preserve">, o que, no seu entender, inviabilizaria </w:t>
      </w:r>
      <w:r w:rsidR="00C60FFA">
        <w:rPr>
          <w:rFonts w:ascii="Times New Roman" w:hAnsi="Times New Roman"/>
          <w:sz w:val="28"/>
          <w:szCs w:val="28"/>
        </w:rPr>
        <w:t>o patrocínio de</w:t>
      </w:r>
      <w:r w:rsidR="00186F83">
        <w:rPr>
          <w:rFonts w:ascii="Times New Roman" w:hAnsi="Times New Roman"/>
          <w:sz w:val="28"/>
          <w:szCs w:val="28"/>
        </w:rPr>
        <w:t xml:space="preserve"> ação em que figure como </w:t>
      </w:r>
      <w:r w:rsidR="00BD7031">
        <w:rPr>
          <w:rFonts w:ascii="Times New Roman" w:hAnsi="Times New Roman"/>
          <w:sz w:val="28"/>
          <w:szCs w:val="28"/>
        </w:rPr>
        <w:t>requerida</w:t>
      </w:r>
      <w:r w:rsidR="00186F83">
        <w:rPr>
          <w:rFonts w:ascii="Times New Roman" w:hAnsi="Times New Roman"/>
          <w:sz w:val="28"/>
          <w:szCs w:val="28"/>
        </w:rPr>
        <w:t xml:space="preserve"> obrigatória a Mesa da Assembleia Legislativa</w:t>
      </w:r>
      <w:r w:rsidR="00AC4F14">
        <w:rPr>
          <w:rFonts w:ascii="Times New Roman" w:hAnsi="Times New Roman"/>
          <w:sz w:val="28"/>
          <w:szCs w:val="28"/>
        </w:rPr>
        <w:t>. Pleiteou o acolhimento das prefaciais apresentadas</w:t>
      </w:r>
      <w:r w:rsidR="00C334D3">
        <w:rPr>
          <w:rFonts w:ascii="Times New Roman" w:hAnsi="Times New Roman"/>
          <w:sz w:val="28"/>
          <w:szCs w:val="28"/>
        </w:rPr>
        <w:t>;</w:t>
      </w:r>
      <w:r w:rsidR="00AC4F14">
        <w:rPr>
          <w:rFonts w:ascii="Times New Roman" w:hAnsi="Times New Roman"/>
          <w:sz w:val="28"/>
          <w:szCs w:val="28"/>
        </w:rPr>
        <w:t xml:space="preserve"> a denegação da medida cautelar</w:t>
      </w:r>
      <w:r w:rsidR="00C334D3">
        <w:rPr>
          <w:rFonts w:ascii="Times New Roman" w:hAnsi="Times New Roman"/>
          <w:sz w:val="28"/>
          <w:szCs w:val="28"/>
        </w:rPr>
        <w:t>;</w:t>
      </w:r>
      <w:r w:rsidR="00AC4F14">
        <w:rPr>
          <w:rFonts w:ascii="Times New Roman" w:hAnsi="Times New Roman"/>
          <w:sz w:val="28"/>
          <w:szCs w:val="28"/>
        </w:rPr>
        <w:t xml:space="preserve"> a exclusão dos advogados</w:t>
      </w:r>
      <w:r w:rsidR="00502113">
        <w:rPr>
          <w:rFonts w:ascii="Times New Roman" w:hAnsi="Times New Roman"/>
          <w:sz w:val="28"/>
          <w:szCs w:val="28"/>
        </w:rPr>
        <w:t xml:space="preserve"> Pedro da Silva Moreira e Adriano de Veiga Medeiros</w:t>
      </w:r>
      <w:r w:rsidR="00BD7031">
        <w:rPr>
          <w:rFonts w:ascii="Times New Roman" w:hAnsi="Times New Roman"/>
          <w:sz w:val="28"/>
          <w:szCs w:val="28"/>
        </w:rPr>
        <w:t xml:space="preserve"> do processo</w:t>
      </w:r>
      <w:r w:rsidR="00502113">
        <w:rPr>
          <w:rFonts w:ascii="Times New Roman" w:hAnsi="Times New Roman"/>
          <w:sz w:val="28"/>
          <w:szCs w:val="28"/>
        </w:rPr>
        <w:t>, com o reconhecimento da nulidade dos atos por eles praticados</w:t>
      </w:r>
      <w:r w:rsidR="00C334D3">
        <w:rPr>
          <w:rFonts w:ascii="Times New Roman" w:hAnsi="Times New Roman"/>
          <w:sz w:val="28"/>
          <w:szCs w:val="28"/>
        </w:rPr>
        <w:t xml:space="preserve">, e, no mérito, a improcedência da ação </w:t>
      </w:r>
      <w:r w:rsidR="00C72996">
        <w:rPr>
          <w:rFonts w:ascii="Times New Roman" w:hAnsi="Times New Roman"/>
          <w:sz w:val="28"/>
          <w:szCs w:val="28"/>
        </w:rPr>
        <w:t>(fls. 157</w:t>
      </w:r>
      <w:r w:rsidR="00BD7031">
        <w:rPr>
          <w:rFonts w:ascii="Times New Roman" w:hAnsi="Times New Roman"/>
          <w:sz w:val="28"/>
          <w:szCs w:val="28"/>
        </w:rPr>
        <w:t>-</w:t>
      </w:r>
      <w:r w:rsidR="00CE2819">
        <w:rPr>
          <w:rFonts w:ascii="Times New Roman" w:hAnsi="Times New Roman"/>
          <w:sz w:val="28"/>
          <w:szCs w:val="28"/>
        </w:rPr>
        <w:t xml:space="preserve">196 e documentos das fls. </w:t>
      </w:r>
      <w:r w:rsidR="00CE2819" w:rsidRPr="00CB47BA">
        <w:rPr>
          <w:rFonts w:ascii="Times New Roman" w:hAnsi="Times New Roman"/>
          <w:sz w:val="28"/>
          <w:szCs w:val="28"/>
        </w:rPr>
        <w:t>197</w:t>
      </w:r>
      <w:r w:rsidR="00BD7031">
        <w:rPr>
          <w:rFonts w:ascii="Times New Roman" w:hAnsi="Times New Roman"/>
          <w:sz w:val="28"/>
          <w:szCs w:val="28"/>
        </w:rPr>
        <w:t>-</w:t>
      </w:r>
      <w:r w:rsidR="00CB5E15" w:rsidRPr="00CB47BA">
        <w:rPr>
          <w:rFonts w:ascii="Times New Roman" w:hAnsi="Times New Roman"/>
          <w:sz w:val="28"/>
          <w:szCs w:val="28"/>
        </w:rPr>
        <w:t>429</w:t>
      </w:r>
      <w:r w:rsidR="00CE2819" w:rsidRPr="00CB47BA">
        <w:rPr>
          <w:rFonts w:ascii="Times New Roman" w:hAnsi="Times New Roman"/>
          <w:sz w:val="28"/>
          <w:szCs w:val="28"/>
        </w:rPr>
        <w:t>)</w:t>
      </w:r>
      <w:r w:rsidR="00BD7031">
        <w:rPr>
          <w:rFonts w:ascii="Times New Roman" w:hAnsi="Times New Roman"/>
          <w:sz w:val="28"/>
          <w:szCs w:val="28"/>
        </w:rPr>
        <w:t>.</w:t>
      </w:r>
    </w:p>
    <w:p w:rsidR="00174A27" w:rsidRDefault="00174A27" w:rsidP="007F21F0">
      <w:pPr>
        <w:spacing w:line="360" w:lineRule="auto"/>
        <w:ind w:firstLine="1701"/>
        <w:jc w:val="both"/>
        <w:rPr>
          <w:rFonts w:ascii="Times New Roman" w:hAnsi="Times New Roman"/>
          <w:sz w:val="28"/>
          <w:szCs w:val="28"/>
        </w:rPr>
      </w:pPr>
      <w:r>
        <w:rPr>
          <w:rFonts w:ascii="Times New Roman" w:hAnsi="Times New Roman"/>
          <w:sz w:val="28"/>
          <w:szCs w:val="28"/>
        </w:rPr>
        <w:t>O proponent</w:t>
      </w:r>
      <w:r w:rsidR="00F75715">
        <w:rPr>
          <w:rFonts w:ascii="Times New Roman" w:hAnsi="Times New Roman"/>
          <w:sz w:val="28"/>
          <w:szCs w:val="28"/>
        </w:rPr>
        <w:t xml:space="preserve">e exarou nova </w:t>
      </w:r>
      <w:r w:rsidR="00063D6C">
        <w:rPr>
          <w:rFonts w:ascii="Times New Roman" w:hAnsi="Times New Roman"/>
          <w:sz w:val="28"/>
          <w:szCs w:val="28"/>
        </w:rPr>
        <w:t>manifestação, na qual</w:t>
      </w:r>
      <w:r w:rsidR="00F75715">
        <w:rPr>
          <w:rFonts w:ascii="Times New Roman" w:hAnsi="Times New Roman"/>
          <w:sz w:val="28"/>
          <w:szCs w:val="28"/>
        </w:rPr>
        <w:t xml:space="preserve"> </w:t>
      </w:r>
      <w:r w:rsidR="00063D6C">
        <w:rPr>
          <w:rFonts w:ascii="Times New Roman" w:hAnsi="Times New Roman"/>
          <w:sz w:val="28"/>
          <w:szCs w:val="28"/>
        </w:rPr>
        <w:t>r</w:t>
      </w:r>
      <w:r w:rsidR="00F75715">
        <w:rPr>
          <w:rFonts w:ascii="Times New Roman" w:hAnsi="Times New Roman"/>
          <w:sz w:val="28"/>
          <w:szCs w:val="28"/>
        </w:rPr>
        <w:t>echaçou a arguição de impedimento dos advogados Adriano da Veiga Medeiros e Pedro Silva Moreira</w:t>
      </w:r>
      <w:r w:rsidR="00554188">
        <w:rPr>
          <w:rFonts w:ascii="Times New Roman" w:hAnsi="Times New Roman"/>
          <w:sz w:val="28"/>
          <w:szCs w:val="28"/>
        </w:rPr>
        <w:t>, ao argumento de que, dad</w:t>
      </w:r>
      <w:r w:rsidR="0090688D">
        <w:rPr>
          <w:rFonts w:ascii="Times New Roman" w:hAnsi="Times New Roman"/>
          <w:sz w:val="28"/>
          <w:szCs w:val="28"/>
        </w:rPr>
        <w:t>a</w:t>
      </w:r>
      <w:r w:rsidR="00554188">
        <w:rPr>
          <w:rFonts w:ascii="Times New Roman" w:hAnsi="Times New Roman"/>
          <w:sz w:val="28"/>
          <w:szCs w:val="28"/>
        </w:rPr>
        <w:t xml:space="preserve"> a natureza objetiva d</w:t>
      </w:r>
      <w:r w:rsidR="0090688D">
        <w:rPr>
          <w:rFonts w:ascii="Times New Roman" w:hAnsi="Times New Roman"/>
          <w:sz w:val="28"/>
          <w:szCs w:val="28"/>
        </w:rPr>
        <w:t>a Ação Direta de Inconstitucionalidade, é incabível se cogitar da existência de conflito de interesses.</w:t>
      </w:r>
      <w:r w:rsidR="004038FE">
        <w:rPr>
          <w:rFonts w:ascii="Times New Roman" w:hAnsi="Times New Roman"/>
          <w:sz w:val="28"/>
          <w:szCs w:val="28"/>
        </w:rPr>
        <w:t xml:space="preserve"> Alegou, tam</w:t>
      </w:r>
      <w:r w:rsidR="00883AE0">
        <w:rPr>
          <w:rFonts w:ascii="Times New Roman" w:hAnsi="Times New Roman"/>
          <w:sz w:val="28"/>
          <w:szCs w:val="28"/>
        </w:rPr>
        <w:t xml:space="preserve">bém, </w:t>
      </w:r>
      <w:r w:rsidR="005F5C9E">
        <w:rPr>
          <w:rFonts w:ascii="Times New Roman" w:hAnsi="Times New Roman"/>
          <w:sz w:val="28"/>
          <w:szCs w:val="28"/>
        </w:rPr>
        <w:t>não ser o caso de indeferimento sumário da inicial e</w:t>
      </w:r>
      <w:r w:rsidR="00885504">
        <w:rPr>
          <w:rFonts w:ascii="Times New Roman" w:hAnsi="Times New Roman"/>
          <w:sz w:val="28"/>
          <w:szCs w:val="28"/>
        </w:rPr>
        <w:t xml:space="preserve"> </w:t>
      </w:r>
      <w:r w:rsidR="005F5C9E">
        <w:rPr>
          <w:rFonts w:ascii="Times New Roman" w:hAnsi="Times New Roman"/>
          <w:sz w:val="28"/>
          <w:szCs w:val="28"/>
        </w:rPr>
        <w:lastRenderedPageBreak/>
        <w:t>tampouco de reconhecimento da</w:t>
      </w:r>
      <w:r w:rsidR="007F3959">
        <w:rPr>
          <w:rFonts w:ascii="Times New Roman" w:hAnsi="Times New Roman"/>
          <w:sz w:val="28"/>
          <w:szCs w:val="28"/>
        </w:rPr>
        <w:t xml:space="preserve"> existência de</w:t>
      </w:r>
      <w:r w:rsidR="005F5C9E">
        <w:rPr>
          <w:rFonts w:ascii="Times New Roman" w:hAnsi="Times New Roman"/>
          <w:sz w:val="28"/>
          <w:szCs w:val="28"/>
        </w:rPr>
        <w:t xml:space="preserve"> coisa julgada</w:t>
      </w:r>
      <w:r w:rsidR="00D74A01">
        <w:rPr>
          <w:rFonts w:ascii="Times New Roman" w:hAnsi="Times New Roman"/>
          <w:sz w:val="28"/>
          <w:szCs w:val="28"/>
        </w:rPr>
        <w:t xml:space="preserve">, </w:t>
      </w:r>
      <w:r w:rsidR="00C27840">
        <w:rPr>
          <w:rFonts w:ascii="Times New Roman" w:hAnsi="Times New Roman"/>
          <w:sz w:val="28"/>
          <w:szCs w:val="28"/>
        </w:rPr>
        <w:t xml:space="preserve">uma </w:t>
      </w:r>
      <w:r w:rsidR="00D74A01">
        <w:rPr>
          <w:rFonts w:ascii="Times New Roman" w:hAnsi="Times New Roman"/>
          <w:sz w:val="28"/>
          <w:szCs w:val="28"/>
        </w:rPr>
        <w:t xml:space="preserve">vez que </w:t>
      </w:r>
      <w:r w:rsidR="006250DE">
        <w:rPr>
          <w:rFonts w:ascii="Times New Roman" w:hAnsi="Times New Roman"/>
          <w:sz w:val="28"/>
          <w:szCs w:val="28"/>
        </w:rPr>
        <w:t>o presente feito tem objeto distinto das Ações Diretas de Inconstitucionalidade que tramitaram perante o Supremo Tribunal Federal e o Tribunal de Justiça</w:t>
      </w:r>
      <w:r w:rsidR="00C27840">
        <w:rPr>
          <w:rFonts w:ascii="Times New Roman" w:hAnsi="Times New Roman"/>
          <w:sz w:val="28"/>
          <w:szCs w:val="28"/>
        </w:rPr>
        <w:t xml:space="preserve"> do Estado</w:t>
      </w:r>
      <w:r w:rsidR="00EF0CCA">
        <w:rPr>
          <w:rFonts w:ascii="Times New Roman" w:hAnsi="Times New Roman"/>
          <w:sz w:val="28"/>
          <w:szCs w:val="28"/>
        </w:rPr>
        <w:t xml:space="preserve"> (fls. 432</w:t>
      </w:r>
      <w:r w:rsidR="00C27840">
        <w:rPr>
          <w:rFonts w:ascii="Times New Roman" w:hAnsi="Times New Roman"/>
          <w:sz w:val="28"/>
          <w:szCs w:val="28"/>
        </w:rPr>
        <w:t>-</w:t>
      </w:r>
      <w:r w:rsidR="00EF0CCA">
        <w:rPr>
          <w:rFonts w:ascii="Times New Roman" w:hAnsi="Times New Roman"/>
          <w:sz w:val="28"/>
          <w:szCs w:val="28"/>
        </w:rPr>
        <w:t>449 e documentos das fls. 450</w:t>
      </w:r>
      <w:r w:rsidR="00C27840">
        <w:rPr>
          <w:rFonts w:ascii="Times New Roman" w:hAnsi="Times New Roman"/>
          <w:sz w:val="28"/>
          <w:szCs w:val="28"/>
        </w:rPr>
        <w:t>-</w:t>
      </w:r>
      <w:r w:rsidR="00EF0CCA">
        <w:rPr>
          <w:rFonts w:ascii="Times New Roman" w:hAnsi="Times New Roman"/>
          <w:sz w:val="28"/>
          <w:szCs w:val="28"/>
        </w:rPr>
        <w:t>451)</w:t>
      </w:r>
      <w:r w:rsidR="006250DE">
        <w:rPr>
          <w:rFonts w:ascii="Times New Roman" w:hAnsi="Times New Roman"/>
          <w:sz w:val="28"/>
          <w:szCs w:val="28"/>
        </w:rPr>
        <w:t>.</w:t>
      </w:r>
    </w:p>
    <w:p w:rsidR="002523A7" w:rsidRDefault="002523A7"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A Assembleia Legislativa do Estado do Rio Grande do Sul, devidamente notificada (fls. </w:t>
      </w:r>
      <w:r w:rsidR="008B200F">
        <w:rPr>
          <w:rFonts w:ascii="Times New Roman" w:hAnsi="Times New Roman"/>
          <w:sz w:val="28"/>
          <w:szCs w:val="28"/>
        </w:rPr>
        <w:t>454-</w:t>
      </w:r>
      <w:r w:rsidR="006C4B93">
        <w:rPr>
          <w:rFonts w:ascii="Times New Roman" w:hAnsi="Times New Roman"/>
          <w:sz w:val="28"/>
          <w:szCs w:val="28"/>
        </w:rPr>
        <w:t>455), permaneceu silente (fl. 456).</w:t>
      </w:r>
    </w:p>
    <w:p w:rsidR="00776B6B" w:rsidRDefault="00776B6B"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A Eminente Desembargadora-Relatora, após indeferir </w:t>
      </w:r>
      <w:r w:rsidR="002075F7">
        <w:rPr>
          <w:rFonts w:ascii="Times New Roman" w:hAnsi="Times New Roman"/>
          <w:sz w:val="28"/>
          <w:szCs w:val="28"/>
        </w:rPr>
        <w:t>a concessão da medida cautelar requerida pelo autor</w:t>
      </w:r>
      <w:r>
        <w:rPr>
          <w:rFonts w:ascii="Times New Roman" w:hAnsi="Times New Roman"/>
          <w:sz w:val="28"/>
          <w:szCs w:val="28"/>
        </w:rPr>
        <w:t xml:space="preserve">, </w:t>
      </w:r>
      <w:r w:rsidR="007A12CE">
        <w:rPr>
          <w:rFonts w:ascii="Times New Roman" w:hAnsi="Times New Roman"/>
          <w:sz w:val="28"/>
          <w:szCs w:val="28"/>
        </w:rPr>
        <w:t xml:space="preserve">determinou a intimação da Assembleia Legislativa e do Ministério Público acerca </w:t>
      </w:r>
      <w:r w:rsidR="00400151">
        <w:rPr>
          <w:rFonts w:ascii="Times New Roman" w:hAnsi="Times New Roman"/>
          <w:sz w:val="28"/>
          <w:szCs w:val="28"/>
        </w:rPr>
        <w:t>das alegações relativas aos dois procuradores do proponente</w:t>
      </w:r>
      <w:r w:rsidR="002075F7">
        <w:rPr>
          <w:rFonts w:ascii="Times New Roman" w:hAnsi="Times New Roman"/>
          <w:sz w:val="28"/>
          <w:szCs w:val="28"/>
        </w:rPr>
        <w:t xml:space="preserve"> cuja conduta fora questionada pelo Procurador-Geral do Estado</w:t>
      </w:r>
      <w:r w:rsidR="0081250D">
        <w:rPr>
          <w:rFonts w:ascii="Times New Roman" w:hAnsi="Times New Roman"/>
          <w:sz w:val="28"/>
          <w:szCs w:val="28"/>
        </w:rPr>
        <w:t>.</w:t>
      </w:r>
      <w:r w:rsidR="00EE46EA">
        <w:rPr>
          <w:rFonts w:ascii="Times New Roman" w:hAnsi="Times New Roman"/>
          <w:sz w:val="28"/>
          <w:szCs w:val="28"/>
        </w:rPr>
        <w:t xml:space="preserve"> Ainda, determinou a intimação da parte autora para retificação da procuração que acompanhou a petição inicial.</w:t>
      </w:r>
      <w:r w:rsidR="0081250D">
        <w:rPr>
          <w:rFonts w:ascii="Times New Roman" w:hAnsi="Times New Roman"/>
          <w:sz w:val="28"/>
          <w:szCs w:val="28"/>
        </w:rPr>
        <w:t xml:space="preserve"> O Ministério Público foi instado, ainda, a se manifestar sobre a competência jurisdicional para</w:t>
      </w:r>
      <w:r w:rsidR="002075F7">
        <w:rPr>
          <w:rFonts w:ascii="Times New Roman" w:hAnsi="Times New Roman"/>
          <w:sz w:val="28"/>
          <w:szCs w:val="28"/>
        </w:rPr>
        <w:t xml:space="preserve"> o</w:t>
      </w:r>
      <w:r w:rsidR="0081250D">
        <w:rPr>
          <w:rFonts w:ascii="Times New Roman" w:hAnsi="Times New Roman"/>
          <w:sz w:val="28"/>
          <w:szCs w:val="28"/>
        </w:rPr>
        <w:t xml:space="preserve"> processamento do feito</w:t>
      </w:r>
      <w:r w:rsidR="00D649A3">
        <w:rPr>
          <w:rFonts w:ascii="Times New Roman" w:hAnsi="Times New Roman"/>
          <w:sz w:val="28"/>
          <w:szCs w:val="28"/>
        </w:rPr>
        <w:t xml:space="preserve"> (fls. 459</w:t>
      </w:r>
      <w:r w:rsidR="002075F7">
        <w:rPr>
          <w:rFonts w:ascii="Times New Roman" w:hAnsi="Times New Roman"/>
          <w:sz w:val="28"/>
          <w:szCs w:val="28"/>
        </w:rPr>
        <w:t>-</w:t>
      </w:r>
      <w:r w:rsidR="00D649A3">
        <w:rPr>
          <w:rFonts w:ascii="Times New Roman" w:hAnsi="Times New Roman"/>
          <w:sz w:val="28"/>
          <w:szCs w:val="28"/>
        </w:rPr>
        <w:t>475)</w:t>
      </w:r>
      <w:r w:rsidR="0081250D">
        <w:rPr>
          <w:rFonts w:ascii="Times New Roman" w:hAnsi="Times New Roman"/>
          <w:sz w:val="28"/>
          <w:szCs w:val="28"/>
        </w:rPr>
        <w:t>.</w:t>
      </w:r>
    </w:p>
    <w:p w:rsidR="00AA77EB" w:rsidRDefault="00EC3753"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Realizada a juntada aos autos da petição inicial do </w:t>
      </w:r>
      <w:r w:rsidR="00EE46EA">
        <w:rPr>
          <w:rFonts w:ascii="Times New Roman" w:hAnsi="Times New Roman"/>
          <w:sz w:val="28"/>
          <w:szCs w:val="28"/>
        </w:rPr>
        <w:t>processo</w:t>
      </w:r>
      <w:r>
        <w:rPr>
          <w:rFonts w:ascii="Times New Roman" w:hAnsi="Times New Roman"/>
          <w:sz w:val="28"/>
          <w:szCs w:val="28"/>
        </w:rPr>
        <w:t xml:space="preserve"> n.º </w:t>
      </w:r>
      <w:r w:rsidRPr="00EC3753">
        <w:rPr>
          <w:rFonts w:ascii="Times New Roman" w:hAnsi="Times New Roman"/>
          <w:sz w:val="28"/>
          <w:szCs w:val="28"/>
        </w:rPr>
        <w:t>70083553982</w:t>
      </w:r>
      <w:r w:rsidR="007D4E7D">
        <w:rPr>
          <w:rFonts w:ascii="Times New Roman" w:hAnsi="Times New Roman"/>
          <w:sz w:val="28"/>
          <w:szCs w:val="28"/>
        </w:rPr>
        <w:t xml:space="preserve"> (476</w:t>
      </w:r>
      <w:r w:rsidR="002075F7">
        <w:rPr>
          <w:rFonts w:ascii="Times New Roman" w:hAnsi="Times New Roman"/>
          <w:sz w:val="28"/>
          <w:szCs w:val="28"/>
        </w:rPr>
        <w:t>-</w:t>
      </w:r>
      <w:r w:rsidR="007D4E7D">
        <w:rPr>
          <w:rFonts w:ascii="Times New Roman" w:hAnsi="Times New Roman"/>
          <w:sz w:val="28"/>
          <w:szCs w:val="28"/>
        </w:rPr>
        <w:t>503)</w:t>
      </w:r>
      <w:r>
        <w:rPr>
          <w:rFonts w:ascii="Times New Roman" w:hAnsi="Times New Roman"/>
          <w:sz w:val="28"/>
          <w:szCs w:val="28"/>
        </w:rPr>
        <w:t>.</w:t>
      </w:r>
    </w:p>
    <w:p w:rsidR="000879FD" w:rsidRDefault="000879FD" w:rsidP="007F21F0">
      <w:pPr>
        <w:spacing w:line="360" w:lineRule="auto"/>
        <w:ind w:firstLine="1701"/>
        <w:jc w:val="both"/>
        <w:rPr>
          <w:rFonts w:ascii="Times New Roman" w:hAnsi="Times New Roman"/>
          <w:sz w:val="28"/>
          <w:szCs w:val="28"/>
        </w:rPr>
      </w:pPr>
      <w:r>
        <w:rPr>
          <w:rFonts w:ascii="Times New Roman" w:hAnsi="Times New Roman"/>
          <w:sz w:val="28"/>
          <w:szCs w:val="28"/>
        </w:rPr>
        <w:t>O proponente carreou aos autos nova procuração</w:t>
      </w:r>
      <w:r w:rsidR="00526512">
        <w:rPr>
          <w:rFonts w:ascii="Times New Roman" w:hAnsi="Times New Roman"/>
          <w:sz w:val="28"/>
          <w:szCs w:val="28"/>
        </w:rPr>
        <w:t>, postulando a exclusão do sistema informatizado dos advogados Adriano da Veiga Medeiros e Pedro da Silva Moreira</w:t>
      </w:r>
      <w:r w:rsidR="00ED6DBA">
        <w:rPr>
          <w:rFonts w:ascii="Times New Roman" w:hAnsi="Times New Roman"/>
          <w:sz w:val="28"/>
          <w:szCs w:val="28"/>
        </w:rPr>
        <w:t xml:space="preserve"> (fls. 513</w:t>
      </w:r>
      <w:r w:rsidR="00EE46EA">
        <w:rPr>
          <w:rFonts w:ascii="Times New Roman" w:hAnsi="Times New Roman"/>
          <w:sz w:val="28"/>
          <w:szCs w:val="28"/>
        </w:rPr>
        <w:t>-</w:t>
      </w:r>
      <w:r w:rsidR="00ED6DBA">
        <w:rPr>
          <w:rFonts w:ascii="Times New Roman" w:hAnsi="Times New Roman"/>
          <w:sz w:val="28"/>
          <w:szCs w:val="28"/>
        </w:rPr>
        <w:t>516). O pleito restou deferido (fls. 517</w:t>
      </w:r>
      <w:r w:rsidR="00EE46EA">
        <w:rPr>
          <w:rFonts w:ascii="Times New Roman" w:hAnsi="Times New Roman"/>
          <w:sz w:val="28"/>
          <w:szCs w:val="28"/>
        </w:rPr>
        <w:t>-</w:t>
      </w:r>
      <w:r w:rsidR="00ED6DBA">
        <w:rPr>
          <w:rFonts w:ascii="Times New Roman" w:hAnsi="Times New Roman"/>
          <w:sz w:val="28"/>
          <w:szCs w:val="28"/>
        </w:rPr>
        <w:t>518).</w:t>
      </w:r>
    </w:p>
    <w:p w:rsidR="00ED6DBA" w:rsidRPr="00EF64E4" w:rsidRDefault="00ED6DBA" w:rsidP="007F21F0">
      <w:pPr>
        <w:spacing w:line="360" w:lineRule="auto"/>
        <w:ind w:firstLine="1701"/>
        <w:jc w:val="both"/>
        <w:rPr>
          <w:rFonts w:ascii="Times New Roman" w:hAnsi="Times New Roman"/>
          <w:sz w:val="28"/>
          <w:szCs w:val="28"/>
        </w:rPr>
      </w:pPr>
      <w:r>
        <w:rPr>
          <w:rFonts w:ascii="Times New Roman" w:hAnsi="Times New Roman"/>
          <w:sz w:val="28"/>
          <w:szCs w:val="28"/>
        </w:rPr>
        <w:t xml:space="preserve">A Assembleia Legislativa, </w:t>
      </w:r>
      <w:r w:rsidR="005A00B1">
        <w:rPr>
          <w:rFonts w:ascii="Times New Roman" w:hAnsi="Times New Roman"/>
          <w:sz w:val="28"/>
          <w:szCs w:val="28"/>
        </w:rPr>
        <w:t>notificada (fl.</w:t>
      </w:r>
      <w:r w:rsidR="00174CE3">
        <w:rPr>
          <w:rFonts w:ascii="Times New Roman" w:hAnsi="Times New Roman"/>
          <w:sz w:val="28"/>
          <w:szCs w:val="28"/>
        </w:rPr>
        <w:t xml:space="preserve"> </w:t>
      </w:r>
      <w:r w:rsidR="005A00B1">
        <w:rPr>
          <w:rFonts w:ascii="Times New Roman" w:hAnsi="Times New Roman"/>
          <w:sz w:val="28"/>
          <w:szCs w:val="28"/>
        </w:rPr>
        <w:t xml:space="preserve">528), </w:t>
      </w:r>
      <w:r w:rsidR="00174CE3">
        <w:rPr>
          <w:rFonts w:ascii="Times New Roman" w:hAnsi="Times New Roman"/>
          <w:sz w:val="28"/>
          <w:szCs w:val="28"/>
        </w:rPr>
        <w:t>manteve-se silente</w:t>
      </w:r>
      <w:r w:rsidR="005A00B1">
        <w:rPr>
          <w:rFonts w:ascii="Times New Roman" w:hAnsi="Times New Roman"/>
          <w:sz w:val="28"/>
          <w:szCs w:val="28"/>
        </w:rPr>
        <w:t xml:space="preserve"> (fl. 532).</w:t>
      </w:r>
    </w:p>
    <w:p w:rsidR="007F21F0" w:rsidRPr="004B770F" w:rsidRDefault="007F21F0" w:rsidP="007F21F0">
      <w:pPr>
        <w:spacing w:line="360" w:lineRule="auto"/>
        <w:ind w:firstLine="1701"/>
        <w:jc w:val="both"/>
        <w:rPr>
          <w:rFonts w:ascii="Times New Roman" w:hAnsi="Times New Roman"/>
          <w:sz w:val="28"/>
          <w:szCs w:val="28"/>
        </w:rPr>
      </w:pPr>
      <w:r w:rsidRPr="004B770F">
        <w:rPr>
          <w:rFonts w:ascii="Times New Roman" w:hAnsi="Times New Roman"/>
          <w:sz w:val="28"/>
          <w:szCs w:val="28"/>
        </w:rPr>
        <w:lastRenderedPageBreak/>
        <w:t>Vieram os autos com vista</w:t>
      </w:r>
      <w:r w:rsidR="005D78E2">
        <w:rPr>
          <w:rFonts w:ascii="Times New Roman" w:hAnsi="Times New Roman"/>
          <w:sz w:val="28"/>
          <w:szCs w:val="28"/>
        </w:rPr>
        <w:t xml:space="preserve"> ao Ministério Público</w:t>
      </w:r>
      <w:r w:rsidRPr="004B770F">
        <w:rPr>
          <w:rFonts w:ascii="Times New Roman" w:hAnsi="Times New Roman"/>
          <w:sz w:val="28"/>
          <w:szCs w:val="28"/>
        </w:rPr>
        <w:t xml:space="preserve">. </w:t>
      </w:r>
    </w:p>
    <w:p w:rsidR="007F21F0" w:rsidRPr="00012E45" w:rsidRDefault="007F21F0" w:rsidP="00012E45">
      <w:pPr>
        <w:spacing w:line="360" w:lineRule="auto"/>
        <w:ind w:firstLine="1701"/>
        <w:jc w:val="both"/>
        <w:rPr>
          <w:rFonts w:ascii="Times New Roman" w:hAnsi="Times New Roman"/>
          <w:sz w:val="28"/>
          <w:szCs w:val="28"/>
        </w:rPr>
      </w:pPr>
      <w:r w:rsidRPr="004B770F">
        <w:rPr>
          <w:rFonts w:ascii="Times New Roman" w:hAnsi="Times New Roman"/>
          <w:sz w:val="28"/>
          <w:szCs w:val="28"/>
        </w:rPr>
        <w:t>É o breve relatório.</w:t>
      </w:r>
    </w:p>
    <w:p w:rsidR="00634DE2" w:rsidRDefault="00634DE2" w:rsidP="007F21F0">
      <w:pPr>
        <w:spacing w:line="360" w:lineRule="auto"/>
        <w:ind w:firstLine="1701"/>
        <w:jc w:val="both"/>
        <w:rPr>
          <w:rFonts w:ascii="Times New Roman" w:hAnsi="Times New Roman"/>
          <w:b/>
          <w:sz w:val="28"/>
          <w:szCs w:val="28"/>
        </w:rPr>
      </w:pPr>
    </w:p>
    <w:p w:rsidR="00301468" w:rsidRDefault="007F21F0" w:rsidP="00097F4F">
      <w:pPr>
        <w:spacing w:line="360" w:lineRule="auto"/>
        <w:ind w:firstLine="1701"/>
        <w:jc w:val="both"/>
        <w:rPr>
          <w:rFonts w:ascii="Times New Roman" w:hAnsi="Times New Roman"/>
          <w:sz w:val="28"/>
          <w:szCs w:val="28"/>
        </w:rPr>
      </w:pPr>
      <w:r w:rsidRPr="004B770F">
        <w:rPr>
          <w:rFonts w:ascii="Times New Roman" w:hAnsi="Times New Roman"/>
          <w:b/>
          <w:sz w:val="28"/>
          <w:szCs w:val="28"/>
        </w:rPr>
        <w:t>2.</w:t>
      </w:r>
      <w:r w:rsidR="003537FE">
        <w:rPr>
          <w:rFonts w:ascii="Times New Roman" w:hAnsi="Times New Roman"/>
          <w:b/>
          <w:sz w:val="28"/>
          <w:szCs w:val="28"/>
        </w:rPr>
        <w:t xml:space="preserve"> </w:t>
      </w:r>
      <w:r w:rsidR="00097F4F">
        <w:rPr>
          <w:rFonts w:ascii="Times New Roman" w:hAnsi="Times New Roman"/>
          <w:sz w:val="28"/>
          <w:szCs w:val="28"/>
        </w:rPr>
        <w:t>Os autos vieram ao Ministério Público</w:t>
      </w:r>
      <w:r w:rsidR="00174CE3">
        <w:rPr>
          <w:rFonts w:ascii="Times New Roman" w:hAnsi="Times New Roman"/>
          <w:sz w:val="28"/>
          <w:szCs w:val="28"/>
        </w:rPr>
        <w:t>, neste momento processual,</w:t>
      </w:r>
      <w:r w:rsidR="00097F4F">
        <w:rPr>
          <w:rFonts w:ascii="Times New Roman" w:hAnsi="Times New Roman"/>
          <w:sz w:val="28"/>
          <w:szCs w:val="28"/>
        </w:rPr>
        <w:t xml:space="preserve"> para manifestação acerca dos seguintes pontos: </w:t>
      </w:r>
      <w:r w:rsidR="00097F4F" w:rsidRPr="00174CE3">
        <w:rPr>
          <w:rFonts w:ascii="Times New Roman" w:hAnsi="Times New Roman"/>
          <w:iCs/>
          <w:sz w:val="28"/>
          <w:szCs w:val="28"/>
        </w:rPr>
        <w:t>a)</w:t>
      </w:r>
      <w:r w:rsidR="00097F4F">
        <w:rPr>
          <w:rFonts w:ascii="Times New Roman" w:hAnsi="Times New Roman"/>
          <w:i/>
          <w:iCs/>
          <w:sz w:val="28"/>
          <w:szCs w:val="28"/>
        </w:rPr>
        <w:t xml:space="preserve"> </w:t>
      </w:r>
      <w:r w:rsidR="00097F4F">
        <w:rPr>
          <w:rFonts w:ascii="Times New Roman" w:hAnsi="Times New Roman"/>
          <w:sz w:val="28"/>
          <w:szCs w:val="28"/>
        </w:rPr>
        <w:t>análise da</w:t>
      </w:r>
      <w:r w:rsidR="00174CE3">
        <w:rPr>
          <w:rFonts w:ascii="Times New Roman" w:hAnsi="Times New Roman"/>
          <w:sz w:val="28"/>
          <w:szCs w:val="28"/>
        </w:rPr>
        <w:t xml:space="preserve"> arguição de</w:t>
      </w:r>
      <w:r w:rsidR="00097F4F">
        <w:rPr>
          <w:rFonts w:ascii="Times New Roman" w:hAnsi="Times New Roman"/>
          <w:sz w:val="28"/>
          <w:szCs w:val="28"/>
        </w:rPr>
        <w:t xml:space="preserve"> impedimento dos procuradores do proponente</w:t>
      </w:r>
      <w:r w:rsidR="00E4586C">
        <w:rPr>
          <w:rFonts w:ascii="Times New Roman" w:hAnsi="Times New Roman"/>
          <w:sz w:val="28"/>
          <w:szCs w:val="28"/>
        </w:rPr>
        <w:t>;</w:t>
      </w:r>
      <w:r w:rsidR="00C17F05">
        <w:rPr>
          <w:rFonts w:ascii="Times New Roman" w:hAnsi="Times New Roman"/>
          <w:sz w:val="28"/>
          <w:szCs w:val="28"/>
        </w:rPr>
        <w:t xml:space="preserve"> e</w:t>
      </w:r>
      <w:r w:rsidR="00097F4F">
        <w:rPr>
          <w:rFonts w:ascii="Times New Roman" w:hAnsi="Times New Roman"/>
          <w:sz w:val="28"/>
          <w:szCs w:val="28"/>
        </w:rPr>
        <w:t xml:space="preserve"> </w:t>
      </w:r>
      <w:r w:rsidR="00097F4F" w:rsidRPr="00174CE3">
        <w:rPr>
          <w:rFonts w:ascii="Times New Roman" w:hAnsi="Times New Roman"/>
          <w:iCs/>
          <w:sz w:val="28"/>
          <w:szCs w:val="28"/>
        </w:rPr>
        <w:t>b)</w:t>
      </w:r>
      <w:r w:rsidR="00097F4F">
        <w:rPr>
          <w:rFonts w:ascii="Times New Roman" w:hAnsi="Times New Roman"/>
          <w:i/>
          <w:iCs/>
          <w:sz w:val="28"/>
          <w:szCs w:val="28"/>
        </w:rPr>
        <w:t xml:space="preserve"> </w:t>
      </w:r>
      <w:r w:rsidR="00097F4F">
        <w:rPr>
          <w:rFonts w:ascii="Times New Roman" w:hAnsi="Times New Roman"/>
          <w:sz w:val="28"/>
          <w:szCs w:val="28"/>
        </w:rPr>
        <w:t>exame da competência jurisdicional para apreciação do feito.</w:t>
      </w:r>
    </w:p>
    <w:p w:rsidR="00CD3575" w:rsidRDefault="000617C1" w:rsidP="00097F4F">
      <w:pPr>
        <w:spacing w:line="360" w:lineRule="auto"/>
        <w:ind w:firstLine="1701"/>
        <w:jc w:val="both"/>
        <w:rPr>
          <w:rFonts w:ascii="Times New Roman" w:hAnsi="Times New Roman"/>
          <w:sz w:val="28"/>
          <w:szCs w:val="28"/>
        </w:rPr>
      </w:pPr>
      <w:r>
        <w:rPr>
          <w:rFonts w:ascii="Times New Roman" w:hAnsi="Times New Roman"/>
          <w:sz w:val="28"/>
          <w:szCs w:val="28"/>
        </w:rPr>
        <w:t>Vejamos</w:t>
      </w:r>
      <w:r w:rsidR="00CD3575">
        <w:rPr>
          <w:rFonts w:ascii="Times New Roman" w:hAnsi="Times New Roman"/>
          <w:sz w:val="28"/>
          <w:szCs w:val="28"/>
        </w:rPr>
        <w:t>.</w:t>
      </w:r>
    </w:p>
    <w:p w:rsidR="000617C1" w:rsidRDefault="000617C1" w:rsidP="00097F4F">
      <w:pPr>
        <w:spacing w:line="360" w:lineRule="auto"/>
        <w:ind w:firstLine="1701"/>
        <w:jc w:val="both"/>
        <w:rPr>
          <w:rFonts w:ascii="Times New Roman" w:hAnsi="Times New Roman"/>
          <w:sz w:val="28"/>
          <w:szCs w:val="28"/>
        </w:rPr>
      </w:pPr>
    </w:p>
    <w:p w:rsidR="00174CE3" w:rsidRDefault="000617C1" w:rsidP="00097F4F">
      <w:pPr>
        <w:spacing w:line="360" w:lineRule="auto"/>
        <w:ind w:firstLine="1701"/>
        <w:jc w:val="both"/>
        <w:rPr>
          <w:rFonts w:ascii="Times New Roman" w:hAnsi="Times New Roman"/>
          <w:sz w:val="28"/>
          <w:szCs w:val="28"/>
        </w:rPr>
      </w:pPr>
      <w:r w:rsidRPr="00C92A11">
        <w:rPr>
          <w:rFonts w:ascii="Times New Roman" w:hAnsi="Times New Roman"/>
          <w:b/>
          <w:sz w:val="28"/>
          <w:szCs w:val="28"/>
        </w:rPr>
        <w:t>2.1</w:t>
      </w:r>
      <w:r>
        <w:rPr>
          <w:rFonts w:ascii="Times New Roman" w:hAnsi="Times New Roman"/>
          <w:sz w:val="28"/>
          <w:szCs w:val="28"/>
        </w:rPr>
        <w:t xml:space="preserve"> </w:t>
      </w:r>
      <w:r w:rsidR="00174CE3">
        <w:rPr>
          <w:rFonts w:ascii="Times New Roman" w:hAnsi="Times New Roman"/>
          <w:sz w:val="28"/>
          <w:szCs w:val="28"/>
        </w:rPr>
        <w:t>O Procurador-Geral do Estado do Rio Grande do Sul requereu a exclusão dos advogados Pedro da Silva Moreira e Adriano da Veiga Medeiros, que subscrevem a petição inicial, da representação do Partido Novo – RS na presente demanda</w:t>
      </w:r>
      <w:r>
        <w:rPr>
          <w:rFonts w:ascii="Times New Roman" w:hAnsi="Times New Roman"/>
          <w:sz w:val="28"/>
          <w:szCs w:val="28"/>
        </w:rPr>
        <w:t>;</w:t>
      </w:r>
      <w:r w:rsidR="00174CE3">
        <w:rPr>
          <w:rFonts w:ascii="Times New Roman" w:hAnsi="Times New Roman"/>
          <w:sz w:val="28"/>
          <w:szCs w:val="28"/>
        </w:rPr>
        <w:t xml:space="preserve"> </w:t>
      </w:r>
      <w:r>
        <w:rPr>
          <w:rFonts w:ascii="Times New Roman" w:hAnsi="Times New Roman"/>
          <w:sz w:val="28"/>
          <w:szCs w:val="28"/>
        </w:rPr>
        <w:t>r</w:t>
      </w:r>
      <w:r w:rsidR="00174CE3">
        <w:rPr>
          <w:rFonts w:ascii="Times New Roman" w:hAnsi="Times New Roman"/>
          <w:sz w:val="28"/>
          <w:szCs w:val="28"/>
        </w:rPr>
        <w:t xml:space="preserve">equereu, também, o reconhecimento da nulidade dos atos praticados pelos </w:t>
      </w:r>
      <w:proofErr w:type="gramStart"/>
      <w:r w:rsidR="00174CE3">
        <w:rPr>
          <w:rFonts w:ascii="Times New Roman" w:hAnsi="Times New Roman"/>
          <w:sz w:val="28"/>
          <w:szCs w:val="28"/>
        </w:rPr>
        <w:t>causídicos</w:t>
      </w:r>
      <w:proofErr w:type="gramEnd"/>
      <w:r w:rsidR="00174CE3">
        <w:rPr>
          <w:rFonts w:ascii="Times New Roman" w:hAnsi="Times New Roman"/>
          <w:sz w:val="28"/>
          <w:szCs w:val="28"/>
        </w:rPr>
        <w:t xml:space="preserve">, </w:t>
      </w:r>
      <w:r w:rsidR="00174CE3">
        <w:rPr>
          <w:rFonts w:ascii="Times New Roman" w:hAnsi="Times New Roman"/>
          <w:i/>
          <w:sz w:val="28"/>
          <w:szCs w:val="28"/>
        </w:rPr>
        <w:t>ou a determinação de sua ratificação por advogado devidamente habilitado</w:t>
      </w:r>
      <w:r w:rsidR="00174CE3">
        <w:rPr>
          <w:rFonts w:ascii="Times New Roman" w:hAnsi="Times New Roman"/>
          <w:sz w:val="28"/>
          <w:szCs w:val="28"/>
        </w:rPr>
        <w:t xml:space="preserve"> (fl. 195, itens </w:t>
      </w:r>
      <w:r w:rsidR="00174CE3">
        <w:rPr>
          <w:rFonts w:ascii="Times New Roman" w:hAnsi="Times New Roman"/>
          <w:i/>
          <w:sz w:val="28"/>
          <w:szCs w:val="28"/>
        </w:rPr>
        <w:t xml:space="preserve">c </w:t>
      </w:r>
      <w:r w:rsidR="00174CE3">
        <w:rPr>
          <w:rFonts w:ascii="Times New Roman" w:hAnsi="Times New Roman"/>
          <w:sz w:val="28"/>
          <w:szCs w:val="28"/>
        </w:rPr>
        <w:t xml:space="preserve">e </w:t>
      </w:r>
      <w:r w:rsidR="00174CE3">
        <w:rPr>
          <w:rFonts w:ascii="Times New Roman" w:hAnsi="Times New Roman"/>
          <w:i/>
          <w:sz w:val="28"/>
          <w:szCs w:val="28"/>
        </w:rPr>
        <w:t>d</w:t>
      </w:r>
      <w:r w:rsidR="00174CE3">
        <w:rPr>
          <w:rFonts w:ascii="Times New Roman" w:hAnsi="Times New Roman"/>
          <w:sz w:val="28"/>
          <w:szCs w:val="28"/>
        </w:rPr>
        <w:t>).</w:t>
      </w:r>
    </w:p>
    <w:p w:rsidR="000617C1" w:rsidRDefault="000617C1" w:rsidP="00097F4F">
      <w:pPr>
        <w:spacing w:line="360" w:lineRule="auto"/>
        <w:ind w:firstLine="1701"/>
        <w:jc w:val="both"/>
        <w:rPr>
          <w:rFonts w:ascii="Times New Roman" w:hAnsi="Times New Roman"/>
          <w:sz w:val="28"/>
          <w:szCs w:val="28"/>
        </w:rPr>
      </w:pPr>
      <w:r>
        <w:rPr>
          <w:rFonts w:ascii="Times New Roman" w:hAnsi="Times New Roman"/>
          <w:sz w:val="28"/>
          <w:szCs w:val="28"/>
        </w:rPr>
        <w:t xml:space="preserve">Estas questões já se encontram, desde o ponto de vista processual, resolvidas. </w:t>
      </w:r>
    </w:p>
    <w:p w:rsidR="000617C1" w:rsidRDefault="000617C1" w:rsidP="00097F4F">
      <w:pPr>
        <w:spacing w:line="360" w:lineRule="auto"/>
        <w:ind w:firstLine="1701"/>
        <w:jc w:val="both"/>
        <w:rPr>
          <w:rFonts w:ascii="Times New Roman" w:hAnsi="Times New Roman"/>
          <w:sz w:val="28"/>
          <w:szCs w:val="28"/>
        </w:rPr>
      </w:pPr>
      <w:r>
        <w:rPr>
          <w:rFonts w:ascii="Times New Roman" w:hAnsi="Times New Roman"/>
          <w:sz w:val="28"/>
          <w:szCs w:val="28"/>
        </w:rPr>
        <w:t xml:space="preserve">Com efeito, por ocasião da </w:t>
      </w:r>
      <w:r w:rsidR="00E12DBA">
        <w:rPr>
          <w:rFonts w:ascii="Times New Roman" w:hAnsi="Times New Roman"/>
          <w:sz w:val="28"/>
          <w:szCs w:val="28"/>
        </w:rPr>
        <w:t xml:space="preserve">juntada de nova procuração por parte do proponente, em atenção à decisão das fls. 459-474, foi requerida a exclusão do sistema informatizado dos advogados cuja atuação fora questionada, tendo sido anunciada a circunstância de estes terem deixado de atuar como representantes </w:t>
      </w:r>
      <w:r w:rsidR="00E12DBA">
        <w:rPr>
          <w:rFonts w:ascii="Times New Roman" w:hAnsi="Times New Roman"/>
          <w:sz w:val="28"/>
          <w:szCs w:val="28"/>
        </w:rPr>
        <w:lastRenderedPageBreak/>
        <w:t>judiciais da parte autora (fl. 513). A providência foi devidamente acolhida</w:t>
      </w:r>
      <w:r w:rsidR="00E4586C">
        <w:rPr>
          <w:rFonts w:ascii="Times New Roman" w:hAnsi="Times New Roman"/>
          <w:sz w:val="28"/>
          <w:szCs w:val="28"/>
        </w:rPr>
        <w:t xml:space="preserve"> no</w:t>
      </w:r>
      <w:r w:rsidR="00E12DBA">
        <w:rPr>
          <w:rFonts w:ascii="Times New Roman" w:hAnsi="Times New Roman"/>
          <w:sz w:val="28"/>
          <w:szCs w:val="28"/>
        </w:rPr>
        <w:t xml:space="preserve"> despacho das fls. 517-518.</w:t>
      </w:r>
    </w:p>
    <w:p w:rsidR="00E12DBA" w:rsidRDefault="00E12DBA" w:rsidP="00097F4F">
      <w:pPr>
        <w:spacing w:line="360" w:lineRule="auto"/>
        <w:ind w:firstLine="1701"/>
        <w:jc w:val="both"/>
        <w:rPr>
          <w:rFonts w:ascii="Times New Roman" w:hAnsi="Times New Roman"/>
          <w:sz w:val="28"/>
          <w:szCs w:val="28"/>
        </w:rPr>
      </w:pPr>
      <w:r>
        <w:rPr>
          <w:rFonts w:ascii="Times New Roman" w:hAnsi="Times New Roman"/>
          <w:sz w:val="28"/>
          <w:szCs w:val="28"/>
        </w:rPr>
        <w:t>Nestes termos, estando o proponente devidamente representado nos autos, e tendo sido corrigida a irregularidade flagrada, no início do processo, pela Eminente Desembargadora-Relatora, mediante a apresentação de nova procuração</w:t>
      </w:r>
      <w:r w:rsidR="0013592C">
        <w:rPr>
          <w:rFonts w:ascii="Times New Roman" w:hAnsi="Times New Roman"/>
          <w:sz w:val="28"/>
          <w:szCs w:val="28"/>
        </w:rPr>
        <w:t xml:space="preserve"> (fl. 515), entende o Ministério Público que o processo reúne condições de prosseguimento</w:t>
      </w:r>
      <w:r w:rsidR="00E4586C">
        <w:rPr>
          <w:rFonts w:ascii="Times New Roman" w:hAnsi="Times New Roman"/>
          <w:sz w:val="28"/>
          <w:szCs w:val="28"/>
        </w:rPr>
        <w:t xml:space="preserve"> válido</w:t>
      </w:r>
      <w:r w:rsidR="0013592C">
        <w:rPr>
          <w:rFonts w:ascii="Times New Roman" w:hAnsi="Times New Roman"/>
          <w:sz w:val="28"/>
          <w:szCs w:val="28"/>
        </w:rPr>
        <w:t xml:space="preserve">. </w:t>
      </w:r>
    </w:p>
    <w:p w:rsidR="0013592C" w:rsidRDefault="0013592C" w:rsidP="000F5AD5">
      <w:pPr>
        <w:spacing w:line="360" w:lineRule="auto"/>
        <w:ind w:firstLine="1701"/>
        <w:jc w:val="both"/>
        <w:rPr>
          <w:rFonts w:ascii="Times New Roman" w:hAnsi="Times New Roman"/>
          <w:iCs/>
          <w:sz w:val="28"/>
          <w:szCs w:val="28"/>
        </w:rPr>
      </w:pPr>
      <w:r>
        <w:rPr>
          <w:rFonts w:ascii="Times New Roman" w:hAnsi="Times New Roman"/>
          <w:iCs/>
          <w:sz w:val="28"/>
          <w:szCs w:val="28"/>
        </w:rPr>
        <w:t>De resto</w:t>
      </w:r>
      <w:r w:rsidR="00F95B66">
        <w:rPr>
          <w:rFonts w:ascii="Times New Roman" w:hAnsi="Times New Roman"/>
          <w:iCs/>
          <w:sz w:val="28"/>
          <w:szCs w:val="28"/>
        </w:rPr>
        <w:t xml:space="preserve">, no que </w:t>
      </w:r>
      <w:proofErr w:type="gramStart"/>
      <w:r w:rsidR="00C92A11">
        <w:rPr>
          <w:rFonts w:ascii="Times New Roman" w:hAnsi="Times New Roman"/>
          <w:iCs/>
          <w:sz w:val="28"/>
          <w:szCs w:val="28"/>
        </w:rPr>
        <w:t>diz respeito às</w:t>
      </w:r>
      <w:r w:rsidR="00F95B66">
        <w:rPr>
          <w:rFonts w:ascii="Times New Roman" w:hAnsi="Times New Roman"/>
          <w:iCs/>
          <w:sz w:val="28"/>
          <w:szCs w:val="28"/>
        </w:rPr>
        <w:t xml:space="preserve"> cogitadas implicações decorrentes</w:t>
      </w:r>
      <w:proofErr w:type="gramEnd"/>
      <w:r w:rsidR="00F95B66">
        <w:rPr>
          <w:rFonts w:ascii="Times New Roman" w:hAnsi="Times New Roman"/>
          <w:iCs/>
          <w:sz w:val="28"/>
          <w:szCs w:val="28"/>
        </w:rPr>
        <w:t xml:space="preserve"> da conduta dos advogados</w:t>
      </w:r>
      <w:r w:rsidR="006430BD">
        <w:rPr>
          <w:rFonts w:ascii="Times New Roman" w:hAnsi="Times New Roman"/>
          <w:iCs/>
          <w:sz w:val="28"/>
          <w:szCs w:val="28"/>
        </w:rPr>
        <w:t xml:space="preserve"> antes mencionados</w:t>
      </w:r>
      <w:r>
        <w:rPr>
          <w:rStyle w:val="Refdenotaderodap"/>
          <w:rFonts w:ascii="Times New Roman" w:hAnsi="Times New Roman"/>
          <w:iCs/>
          <w:sz w:val="28"/>
          <w:szCs w:val="28"/>
        </w:rPr>
        <w:footnoteReference w:id="1"/>
      </w:r>
      <w:r w:rsidR="00F95B66">
        <w:rPr>
          <w:rFonts w:ascii="Times New Roman" w:hAnsi="Times New Roman"/>
          <w:iCs/>
          <w:sz w:val="28"/>
          <w:szCs w:val="28"/>
        </w:rPr>
        <w:t xml:space="preserve">, </w:t>
      </w:r>
      <w:r>
        <w:rPr>
          <w:rFonts w:ascii="Times New Roman" w:hAnsi="Times New Roman"/>
          <w:iCs/>
          <w:sz w:val="28"/>
          <w:szCs w:val="28"/>
        </w:rPr>
        <w:t>informa-se terem sido remetidas cópias do feito às Promotorias de Justiça com atribuição para análise da matéria.</w:t>
      </w:r>
    </w:p>
    <w:p w:rsidR="0013592C" w:rsidRDefault="0013592C" w:rsidP="000F5AD5">
      <w:pPr>
        <w:spacing w:line="360" w:lineRule="auto"/>
        <w:ind w:firstLine="1701"/>
        <w:jc w:val="both"/>
        <w:rPr>
          <w:rFonts w:ascii="Times New Roman" w:hAnsi="Times New Roman"/>
          <w:iCs/>
          <w:sz w:val="28"/>
          <w:szCs w:val="28"/>
        </w:rPr>
      </w:pPr>
    </w:p>
    <w:p w:rsidR="002242CA" w:rsidRPr="000F5AD5" w:rsidRDefault="00C92A11" w:rsidP="000F5AD5">
      <w:pPr>
        <w:spacing w:line="360" w:lineRule="auto"/>
        <w:ind w:firstLine="1701"/>
        <w:jc w:val="both"/>
        <w:rPr>
          <w:rFonts w:ascii="Times New Roman" w:hAnsi="Times New Roman"/>
          <w:iCs/>
          <w:sz w:val="28"/>
          <w:szCs w:val="28"/>
        </w:rPr>
      </w:pPr>
      <w:r>
        <w:rPr>
          <w:rFonts w:ascii="Times New Roman" w:hAnsi="Times New Roman"/>
          <w:b/>
          <w:iCs/>
          <w:sz w:val="28"/>
          <w:szCs w:val="28"/>
        </w:rPr>
        <w:t xml:space="preserve">2.2 </w:t>
      </w:r>
      <w:r>
        <w:rPr>
          <w:rFonts w:ascii="Times New Roman" w:hAnsi="Times New Roman"/>
          <w:iCs/>
          <w:sz w:val="28"/>
          <w:szCs w:val="28"/>
        </w:rPr>
        <w:t>Lado outro</w:t>
      </w:r>
      <w:r w:rsidR="000F5AD5">
        <w:rPr>
          <w:rFonts w:ascii="Times New Roman" w:hAnsi="Times New Roman"/>
          <w:iCs/>
          <w:sz w:val="28"/>
          <w:szCs w:val="28"/>
        </w:rPr>
        <w:t xml:space="preserve">, calha </w:t>
      </w:r>
      <w:proofErr w:type="spellStart"/>
      <w:r w:rsidR="000F5AD5">
        <w:rPr>
          <w:rFonts w:ascii="Times New Roman" w:hAnsi="Times New Roman"/>
          <w:iCs/>
          <w:sz w:val="28"/>
          <w:szCs w:val="28"/>
        </w:rPr>
        <w:t>gizar</w:t>
      </w:r>
      <w:proofErr w:type="spellEnd"/>
      <w:r w:rsidR="000F5AD5">
        <w:rPr>
          <w:rFonts w:ascii="Times New Roman" w:hAnsi="Times New Roman"/>
          <w:iCs/>
          <w:sz w:val="28"/>
          <w:szCs w:val="28"/>
        </w:rPr>
        <w:t xml:space="preserve"> que a</w:t>
      </w:r>
      <w:r w:rsidR="002242CA">
        <w:rPr>
          <w:rFonts w:ascii="Times New Roman" w:hAnsi="Times New Roman"/>
          <w:iCs/>
          <w:sz w:val="28"/>
          <w:szCs w:val="28"/>
        </w:rPr>
        <w:t xml:space="preserve"> preliminar relativa à prevenção do Eminente Desembarg</w:t>
      </w:r>
      <w:r w:rsidR="00DD3908">
        <w:rPr>
          <w:rFonts w:ascii="Times New Roman" w:hAnsi="Times New Roman"/>
          <w:iCs/>
          <w:sz w:val="28"/>
          <w:szCs w:val="28"/>
        </w:rPr>
        <w:t>ad</w:t>
      </w:r>
      <w:r w:rsidR="002242CA">
        <w:rPr>
          <w:rFonts w:ascii="Times New Roman" w:hAnsi="Times New Roman"/>
          <w:iCs/>
          <w:sz w:val="28"/>
          <w:szCs w:val="28"/>
        </w:rPr>
        <w:t xml:space="preserve">or </w:t>
      </w:r>
      <w:r w:rsidR="002242CA">
        <w:rPr>
          <w:rFonts w:ascii="Times New Roman" w:hAnsi="Times New Roman"/>
          <w:sz w:val="28"/>
          <w:szCs w:val="28"/>
        </w:rPr>
        <w:t xml:space="preserve">Jorge Luís </w:t>
      </w:r>
      <w:proofErr w:type="spellStart"/>
      <w:proofErr w:type="gramStart"/>
      <w:r w:rsidR="002242CA">
        <w:rPr>
          <w:rFonts w:ascii="Times New Roman" w:hAnsi="Times New Roman"/>
          <w:sz w:val="28"/>
          <w:szCs w:val="28"/>
        </w:rPr>
        <w:t>Dall’Agnol</w:t>
      </w:r>
      <w:proofErr w:type="spellEnd"/>
      <w:proofErr w:type="gramEnd"/>
      <w:r>
        <w:rPr>
          <w:rFonts w:ascii="Times New Roman" w:hAnsi="Times New Roman"/>
          <w:sz w:val="28"/>
          <w:szCs w:val="28"/>
        </w:rPr>
        <w:t xml:space="preserve">,  relator da ADI n.º </w:t>
      </w:r>
      <w:r w:rsidRPr="005B388F">
        <w:rPr>
          <w:rFonts w:ascii="Times New Roman" w:hAnsi="Times New Roman"/>
          <w:sz w:val="28"/>
          <w:szCs w:val="28"/>
        </w:rPr>
        <w:t>0327307-79.2019.8.21.7000,</w:t>
      </w:r>
      <w:r>
        <w:rPr>
          <w:rFonts w:ascii="Times New Roman" w:hAnsi="Times New Roman"/>
          <w:sz w:val="28"/>
          <w:szCs w:val="28"/>
        </w:rPr>
        <w:t xml:space="preserve"> igualmente</w:t>
      </w:r>
      <w:r w:rsidRPr="005B388F">
        <w:rPr>
          <w:rFonts w:ascii="Times New Roman" w:hAnsi="Times New Roman"/>
          <w:sz w:val="28"/>
          <w:szCs w:val="28"/>
        </w:rPr>
        <w:t xml:space="preserve"> </w:t>
      </w:r>
      <w:r>
        <w:rPr>
          <w:rFonts w:ascii="Times New Roman" w:hAnsi="Times New Roman"/>
          <w:sz w:val="28"/>
          <w:szCs w:val="28"/>
        </w:rPr>
        <w:t>suscitada pelo Procurador-Geral do Estado, não merece, na visão do Ministério Público, prosperar.</w:t>
      </w:r>
    </w:p>
    <w:p w:rsidR="00CE4D4E" w:rsidRDefault="002242CA" w:rsidP="009A03B9">
      <w:pPr>
        <w:spacing w:line="360" w:lineRule="auto"/>
        <w:ind w:firstLine="1701"/>
        <w:jc w:val="both"/>
        <w:rPr>
          <w:rFonts w:ascii="Times New Roman" w:hAnsi="Times New Roman"/>
          <w:sz w:val="28"/>
          <w:szCs w:val="28"/>
        </w:rPr>
      </w:pPr>
      <w:r>
        <w:rPr>
          <w:rFonts w:ascii="Times New Roman" w:hAnsi="Times New Roman"/>
          <w:sz w:val="28"/>
          <w:szCs w:val="28"/>
        </w:rPr>
        <w:t>De fato, consoante entendimento de há muito assentado pelo Superior Tribunal de Justiça</w:t>
      </w:r>
      <w:r>
        <w:rPr>
          <w:rStyle w:val="Refdenotaderodap"/>
          <w:rFonts w:ascii="Times New Roman" w:hAnsi="Times New Roman"/>
          <w:sz w:val="28"/>
          <w:szCs w:val="28"/>
        </w:rPr>
        <w:footnoteReference w:id="2"/>
      </w:r>
      <w:r w:rsidR="0040545B">
        <w:rPr>
          <w:rFonts w:ascii="Times New Roman" w:hAnsi="Times New Roman"/>
          <w:sz w:val="28"/>
          <w:szCs w:val="28"/>
        </w:rPr>
        <w:t>,</w:t>
      </w:r>
      <w:r>
        <w:rPr>
          <w:rFonts w:ascii="Times New Roman" w:hAnsi="Times New Roman"/>
          <w:iCs/>
          <w:sz w:val="28"/>
          <w:szCs w:val="28"/>
        </w:rPr>
        <w:t xml:space="preserve"> </w:t>
      </w:r>
      <w:r w:rsidRPr="0090643F">
        <w:rPr>
          <w:rFonts w:ascii="Times New Roman" w:hAnsi="Times New Roman"/>
          <w:i/>
          <w:iCs/>
          <w:sz w:val="28"/>
          <w:szCs w:val="28"/>
        </w:rPr>
        <w:t xml:space="preserve">não ocorre </w:t>
      </w:r>
      <w:proofErr w:type="gramStart"/>
      <w:r w:rsidRPr="0090643F">
        <w:rPr>
          <w:rFonts w:ascii="Times New Roman" w:hAnsi="Times New Roman"/>
          <w:i/>
          <w:iCs/>
          <w:sz w:val="28"/>
          <w:szCs w:val="28"/>
        </w:rPr>
        <w:t>a</w:t>
      </w:r>
      <w:proofErr w:type="gramEnd"/>
      <w:r w:rsidRPr="0090643F">
        <w:rPr>
          <w:rFonts w:ascii="Times New Roman" w:hAnsi="Times New Roman"/>
          <w:i/>
          <w:iCs/>
          <w:sz w:val="28"/>
          <w:szCs w:val="28"/>
        </w:rPr>
        <w:t xml:space="preserve"> </w:t>
      </w:r>
      <w:r w:rsidRPr="0090643F">
        <w:rPr>
          <w:rFonts w:ascii="Times New Roman" w:hAnsi="Times New Roman"/>
          <w:i/>
          <w:iCs/>
          <w:sz w:val="28"/>
          <w:szCs w:val="28"/>
        </w:rPr>
        <w:lastRenderedPageBreak/>
        <w:t>prevenção quando julgada a ação que supostamente tornava o juízo prevento</w:t>
      </w:r>
      <w:r w:rsidR="00E35A70">
        <w:rPr>
          <w:rStyle w:val="Refdenotaderodap"/>
          <w:rFonts w:ascii="Times New Roman" w:hAnsi="Times New Roman"/>
          <w:i/>
          <w:iCs/>
          <w:sz w:val="28"/>
          <w:szCs w:val="28"/>
        </w:rPr>
        <w:footnoteReference w:id="3"/>
      </w:r>
      <w:r w:rsidR="00E35A70">
        <w:rPr>
          <w:rFonts w:ascii="Times New Roman" w:hAnsi="Times New Roman"/>
          <w:sz w:val="28"/>
          <w:szCs w:val="28"/>
        </w:rPr>
        <w:t>.</w:t>
      </w:r>
      <w:r w:rsidR="00CE4D4E">
        <w:rPr>
          <w:rFonts w:ascii="Times New Roman" w:hAnsi="Times New Roman"/>
          <w:sz w:val="28"/>
          <w:szCs w:val="28"/>
        </w:rPr>
        <w:t xml:space="preserve"> </w:t>
      </w:r>
      <w:r w:rsidR="00E35A70">
        <w:rPr>
          <w:rFonts w:ascii="Times New Roman" w:hAnsi="Times New Roman"/>
          <w:sz w:val="28"/>
          <w:szCs w:val="28"/>
        </w:rPr>
        <w:t xml:space="preserve">Essa </w:t>
      </w:r>
      <w:r w:rsidR="00CE4D4E">
        <w:rPr>
          <w:rFonts w:ascii="Times New Roman" w:hAnsi="Times New Roman"/>
          <w:sz w:val="28"/>
          <w:szCs w:val="28"/>
        </w:rPr>
        <w:t>conclusão deriva da noção de que o objetivo central do instituto em questão é o de evitar que ações conexas, que estejam em curso, sejam conduzidas de modo a receberem decisões contraditórias</w:t>
      </w:r>
      <w:r w:rsidR="00E35A70">
        <w:rPr>
          <w:rFonts w:ascii="Times New Roman" w:hAnsi="Times New Roman"/>
          <w:sz w:val="28"/>
          <w:szCs w:val="28"/>
        </w:rPr>
        <w:t>.</w:t>
      </w:r>
      <w:r w:rsidR="00CE4D4E">
        <w:rPr>
          <w:rFonts w:ascii="Times New Roman" w:hAnsi="Times New Roman"/>
          <w:sz w:val="28"/>
          <w:szCs w:val="28"/>
        </w:rPr>
        <w:t xml:space="preserve"> Uma vez que haja trânsito em julgado da decisão em que resolvida </w:t>
      </w:r>
      <w:proofErr w:type="gramStart"/>
      <w:r w:rsidR="00CE4D4E">
        <w:rPr>
          <w:rFonts w:ascii="Times New Roman" w:hAnsi="Times New Roman"/>
          <w:sz w:val="28"/>
          <w:szCs w:val="28"/>
        </w:rPr>
        <w:t>a</w:t>
      </w:r>
      <w:proofErr w:type="gramEnd"/>
      <w:r w:rsidR="00CE4D4E">
        <w:rPr>
          <w:rFonts w:ascii="Times New Roman" w:hAnsi="Times New Roman"/>
          <w:sz w:val="28"/>
          <w:szCs w:val="28"/>
        </w:rPr>
        <w:t xml:space="preserve"> ação primeira, não se fala mais, portanto, em prevenção, ficando, a legítima preocupação com a coerência decisória, situada no plano do dever funcional dos tribunais, nos termos do art. 926</w:t>
      </w:r>
      <w:r w:rsidR="00A4663E">
        <w:rPr>
          <w:rFonts w:ascii="Times New Roman" w:hAnsi="Times New Roman"/>
          <w:sz w:val="28"/>
          <w:szCs w:val="28"/>
        </w:rPr>
        <w:t xml:space="preserve">, </w:t>
      </w:r>
      <w:r w:rsidR="00A4663E">
        <w:rPr>
          <w:rFonts w:ascii="Times New Roman" w:hAnsi="Times New Roman"/>
          <w:i/>
          <w:sz w:val="28"/>
          <w:szCs w:val="28"/>
        </w:rPr>
        <w:t>caput</w:t>
      </w:r>
      <w:r w:rsidR="00A4663E">
        <w:rPr>
          <w:rFonts w:ascii="Times New Roman" w:hAnsi="Times New Roman"/>
          <w:sz w:val="28"/>
          <w:szCs w:val="28"/>
        </w:rPr>
        <w:t>,</w:t>
      </w:r>
      <w:r w:rsidR="00CE4D4E">
        <w:rPr>
          <w:rFonts w:ascii="Times New Roman" w:hAnsi="Times New Roman"/>
          <w:sz w:val="28"/>
          <w:szCs w:val="28"/>
        </w:rPr>
        <w:t xml:space="preserve"> do CPC</w:t>
      </w:r>
      <w:r w:rsidR="00A4663E">
        <w:rPr>
          <w:rStyle w:val="Refdenotaderodap"/>
          <w:rFonts w:ascii="Times New Roman" w:hAnsi="Times New Roman"/>
          <w:sz w:val="28"/>
          <w:szCs w:val="28"/>
        </w:rPr>
        <w:footnoteReference w:id="4"/>
      </w:r>
      <w:r w:rsidR="00CE4D4E">
        <w:rPr>
          <w:rFonts w:ascii="Times New Roman" w:hAnsi="Times New Roman"/>
          <w:sz w:val="28"/>
          <w:szCs w:val="28"/>
        </w:rPr>
        <w:t>.</w:t>
      </w:r>
    </w:p>
    <w:p w:rsidR="0088466D" w:rsidRDefault="00A4663E" w:rsidP="00A4663E">
      <w:pPr>
        <w:spacing w:line="360" w:lineRule="auto"/>
        <w:ind w:firstLine="1701"/>
        <w:jc w:val="both"/>
        <w:rPr>
          <w:rFonts w:ascii="Times New Roman" w:hAnsi="Times New Roman"/>
          <w:sz w:val="28"/>
          <w:szCs w:val="28"/>
        </w:rPr>
      </w:pPr>
      <w:r>
        <w:rPr>
          <w:rFonts w:ascii="Times New Roman" w:hAnsi="Times New Roman"/>
          <w:sz w:val="28"/>
          <w:szCs w:val="28"/>
        </w:rPr>
        <w:t xml:space="preserve">Portanto, não parece haver fundamento normativo para a </w:t>
      </w:r>
      <w:r w:rsidR="00C64537">
        <w:rPr>
          <w:rFonts w:ascii="Times New Roman" w:hAnsi="Times New Roman"/>
          <w:sz w:val="28"/>
          <w:szCs w:val="28"/>
        </w:rPr>
        <w:t>prorrogação</w:t>
      </w:r>
      <w:r w:rsidR="0088466D">
        <w:rPr>
          <w:rFonts w:ascii="Times New Roman" w:hAnsi="Times New Roman"/>
          <w:sz w:val="28"/>
          <w:szCs w:val="28"/>
        </w:rPr>
        <w:t xml:space="preserve"> </w:t>
      </w:r>
      <w:r w:rsidR="00C64537">
        <w:rPr>
          <w:rFonts w:ascii="Times New Roman" w:hAnsi="Times New Roman"/>
          <w:sz w:val="28"/>
          <w:szCs w:val="28"/>
        </w:rPr>
        <w:t xml:space="preserve">da competência </w:t>
      </w:r>
      <w:r w:rsidR="00392565">
        <w:rPr>
          <w:rFonts w:ascii="Times New Roman" w:hAnsi="Times New Roman"/>
          <w:sz w:val="28"/>
          <w:szCs w:val="28"/>
        </w:rPr>
        <w:t>do</w:t>
      </w:r>
      <w:r w:rsidR="00C64537">
        <w:rPr>
          <w:rFonts w:ascii="Times New Roman" w:hAnsi="Times New Roman"/>
          <w:sz w:val="28"/>
          <w:szCs w:val="28"/>
        </w:rPr>
        <w:t xml:space="preserve"> Desembargador Jorge Luís </w:t>
      </w:r>
      <w:proofErr w:type="spellStart"/>
      <w:proofErr w:type="gramStart"/>
      <w:r w:rsidR="00C64537">
        <w:rPr>
          <w:rFonts w:ascii="Times New Roman" w:hAnsi="Times New Roman"/>
          <w:sz w:val="28"/>
          <w:szCs w:val="28"/>
        </w:rPr>
        <w:t>Dall’Agnol</w:t>
      </w:r>
      <w:proofErr w:type="spellEnd"/>
      <w:proofErr w:type="gramEnd"/>
      <w:r>
        <w:rPr>
          <w:rFonts w:ascii="Times New Roman" w:hAnsi="Times New Roman"/>
          <w:sz w:val="28"/>
          <w:szCs w:val="28"/>
        </w:rPr>
        <w:t xml:space="preserve">, relator </w:t>
      </w:r>
      <w:r w:rsidR="00C64537">
        <w:rPr>
          <w:rFonts w:ascii="Times New Roman" w:hAnsi="Times New Roman"/>
          <w:sz w:val="28"/>
          <w:szCs w:val="28"/>
        </w:rPr>
        <w:t>de Ação Direta de Inconstitucionalidade pretérita</w:t>
      </w:r>
      <w:r w:rsidR="00E103E5">
        <w:rPr>
          <w:rFonts w:ascii="Times New Roman" w:hAnsi="Times New Roman"/>
          <w:sz w:val="28"/>
          <w:szCs w:val="28"/>
        </w:rPr>
        <w:t xml:space="preserve"> que, embora </w:t>
      </w:r>
      <w:r w:rsidR="00065A43">
        <w:rPr>
          <w:rFonts w:ascii="Times New Roman" w:hAnsi="Times New Roman"/>
          <w:sz w:val="28"/>
          <w:szCs w:val="28"/>
        </w:rPr>
        <w:t>guarde relação com o caso concreto,</w:t>
      </w:r>
      <w:r>
        <w:rPr>
          <w:rFonts w:ascii="Times New Roman" w:hAnsi="Times New Roman"/>
          <w:sz w:val="28"/>
          <w:szCs w:val="28"/>
        </w:rPr>
        <w:t xml:space="preserve"> já foi julgada de modo definitivo e</w:t>
      </w:r>
      <w:r w:rsidR="00065A43">
        <w:rPr>
          <w:rFonts w:ascii="Times New Roman" w:hAnsi="Times New Roman"/>
          <w:sz w:val="28"/>
          <w:szCs w:val="28"/>
        </w:rPr>
        <w:t xml:space="preserve"> tinha causa de pedir</w:t>
      </w:r>
      <w:r w:rsidR="008976FB">
        <w:rPr>
          <w:rFonts w:ascii="Times New Roman" w:hAnsi="Times New Roman"/>
          <w:sz w:val="28"/>
          <w:szCs w:val="28"/>
        </w:rPr>
        <w:t>, pedido</w:t>
      </w:r>
      <w:r w:rsidR="00065A43">
        <w:rPr>
          <w:rFonts w:ascii="Times New Roman" w:hAnsi="Times New Roman"/>
          <w:sz w:val="28"/>
          <w:szCs w:val="28"/>
        </w:rPr>
        <w:t xml:space="preserve"> e proponente</w:t>
      </w:r>
      <w:r w:rsidR="001C4797">
        <w:rPr>
          <w:rFonts w:ascii="Times New Roman" w:hAnsi="Times New Roman"/>
          <w:sz w:val="28"/>
          <w:szCs w:val="28"/>
        </w:rPr>
        <w:t>s</w:t>
      </w:r>
      <w:r w:rsidR="00065A43">
        <w:rPr>
          <w:rFonts w:ascii="Times New Roman" w:hAnsi="Times New Roman"/>
          <w:sz w:val="28"/>
          <w:szCs w:val="28"/>
        </w:rPr>
        <w:t xml:space="preserve"> diversos.</w:t>
      </w:r>
    </w:p>
    <w:p w:rsidR="00DB44FE" w:rsidRDefault="00DB44FE" w:rsidP="009A03B9">
      <w:pPr>
        <w:spacing w:line="360" w:lineRule="auto"/>
        <w:ind w:firstLine="1701"/>
        <w:jc w:val="both"/>
        <w:rPr>
          <w:rFonts w:ascii="Times New Roman" w:hAnsi="Times New Roman"/>
          <w:sz w:val="28"/>
          <w:szCs w:val="28"/>
        </w:rPr>
      </w:pPr>
      <w:r>
        <w:rPr>
          <w:rFonts w:ascii="Times New Roman" w:hAnsi="Times New Roman"/>
          <w:sz w:val="28"/>
          <w:szCs w:val="28"/>
        </w:rPr>
        <w:t>A jurisprudência desse egrégio Órgão Especial corrobora esse entendimento</w:t>
      </w:r>
      <w:r w:rsidR="00AF7638">
        <w:rPr>
          <w:rFonts w:ascii="Times New Roman" w:hAnsi="Times New Roman"/>
          <w:sz w:val="28"/>
          <w:szCs w:val="28"/>
        </w:rPr>
        <w:t>, como se vê na seguinte ementa</w:t>
      </w:r>
      <w:r>
        <w:rPr>
          <w:rFonts w:ascii="Times New Roman" w:hAnsi="Times New Roman"/>
          <w:sz w:val="28"/>
          <w:szCs w:val="28"/>
        </w:rPr>
        <w:t>:</w:t>
      </w:r>
    </w:p>
    <w:p w:rsidR="00A603C8" w:rsidRPr="00A603C8" w:rsidRDefault="00A603C8" w:rsidP="00A603C8">
      <w:pPr>
        <w:pStyle w:val="NormalWeb"/>
        <w:shd w:val="clear" w:color="auto" w:fill="FFFFFF"/>
        <w:spacing w:before="0" w:beforeAutospacing="0" w:after="0" w:afterAutospacing="0"/>
        <w:ind w:left="1701"/>
        <w:jc w:val="both"/>
      </w:pPr>
    </w:p>
    <w:p w:rsidR="003C5D01" w:rsidRDefault="003C5D01" w:rsidP="00DD3908">
      <w:pPr>
        <w:pStyle w:val="NormalWeb"/>
        <w:shd w:val="clear" w:color="auto" w:fill="FFFFFF"/>
        <w:spacing w:before="0" w:beforeAutospacing="0" w:after="0" w:afterAutospacing="0"/>
        <w:ind w:left="1701"/>
        <w:jc w:val="both"/>
      </w:pPr>
      <w:r w:rsidRPr="0080466D">
        <w:rPr>
          <w:i/>
          <w:iCs/>
          <w:color w:val="000000"/>
        </w:rPr>
        <w:t>CONFLITO DE COMPETÊNCIA. APELAÇÃO CÍVEL. AÇÃO DE OBRIGAÇÃO DE FAZER CUMULADA COM INDENIZAÇÃO POR DANO MORAL. JULGAMENTO </w:t>
      </w:r>
      <w:r w:rsidRPr="0080466D">
        <w:rPr>
          <w:rStyle w:val="nfase"/>
          <w:color w:val="000000"/>
        </w:rPr>
        <w:t>ANTERIOR</w:t>
      </w:r>
      <w:r w:rsidRPr="0080466D">
        <w:rPr>
          <w:i/>
          <w:iCs/>
          <w:color w:val="000000"/>
        </w:rPr>
        <w:t> DE RECURSO EM PROCESSO DISTINTO JÁ SENTENCIADO</w:t>
      </w:r>
      <w:r w:rsidRPr="0080466D">
        <w:rPr>
          <w:color w:val="000000"/>
        </w:rPr>
        <w:t>. </w:t>
      </w:r>
      <w:r w:rsidRPr="0080466D">
        <w:rPr>
          <w:rStyle w:val="nfase"/>
          <w:color w:val="000000"/>
        </w:rPr>
        <w:t>PREVENÇÃO</w:t>
      </w:r>
      <w:r w:rsidRPr="0080466D">
        <w:rPr>
          <w:i/>
          <w:iCs/>
          <w:color w:val="000000"/>
        </w:rPr>
        <w:t xml:space="preserve"> NÃO CONFIGURADA. PRECEDENTES DA 1ª VICE-PRESIDÊNCIA. </w:t>
      </w:r>
      <w:r w:rsidRPr="0080466D">
        <w:rPr>
          <w:b/>
          <w:bCs/>
          <w:i/>
          <w:iCs/>
          <w:color w:val="000000"/>
        </w:rPr>
        <w:t>Impossibilidade de redistribuição por </w:t>
      </w:r>
      <w:r w:rsidRPr="0080466D">
        <w:rPr>
          <w:rStyle w:val="nfase"/>
          <w:b/>
          <w:bCs/>
          <w:color w:val="000000"/>
        </w:rPr>
        <w:t>prevenção</w:t>
      </w:r>
      <w:r w:rsidRPr="0080466D">
        <w:rPr>
          <w:b/>
          <w:bCs/>
          <w:i/>
          <w:iCs/>
          <w:color w:val="000000"/>
        </w:rPr>
        <w:t> </w:t>
      </w:r>
      <w:r w:rsidRPr="0080466D">
        <w:rPr>
          <w:rStyle w:val="hidden-text"/>
          <w:b/>
          <w:bCs/>
          <w:i/>
          <w:iCs/>
          <w:color w:val="000000"/>
        </w:rPr>
        <w:t>quando as ações são distintas, gerando recursos </w:t>
      </w:r>
      <w:r w:rsidRPr="0080466D">
        <w:rPr>
          <w:rStyle w:val="nfase"/>
          <w:b/>
          <w:bCs/>
          <w:color w:val="000000"/>
        </w:rPr>
        <w:t>distintos</w:t>
      </w:r>
      <w:r w:rsidRPr="0080466D">
        <w:rPr>
          <w:rStyle w:val="hidden-text"/>
          <w:b/>
          <w:bCs/>
          <w:i/>
          <w:iCs/>
          <w:color w:val="000000"/>
        </w:rPr>
        <w:t xml:space="preserve">, mormente quando um deles já foi </w:t>
      </w:r>
      <w:r w:rsidRPr="0080466D">
        <w:rPr>
          <w:rStyle w:val="hidden-text"/>
          <w:b/>
          <w:bCs/>
          <w:i/>
          <w:iCs/>
          <w:color w:val="000000"/>
        </w:rPr>
        <w:lastRenderedPageBreak/>
        <w:t>sentenciado</w:t>
      </w:r>
      <w:r w:rsidRPr="0080466D">
        <w:rPr>
          <w:rStyle w:val="hidden-text"/>
          <w:i/>
          <w:iCs/>
          <w:color w:val="000000"/>
        </w:rPr>
        <w:t>. Inteligência do art. 55, § 1º do CPC/2015. Não configurada a </w:t>
      </w:r>
      <w:r w:rsidRPr="0080466D">
        <w:rPr>
          <w:rStyle w:val="nfase"/>
          <w:color w:val="000000"/>
        </w:rPr>
        <w:t>prevenção</w:t>
      </w:r>
      <w:r w:rsidRPr="0080466D">
        <w:rPr>
          <w:rStyle w:val="hidden-text"/>
          <w:i/>
          <w:iCs/>
          <w:color w:val="000000"/>
        </w:rPr>
        <w:t xml:space="preserve"> pelo julgamento de recurso em ação distinta, afasta-se a aplicação do art. 146, V, do RITJRS. Súmula n° 235 do STJ. Precedentes da 1ª Vice-Presidência e do Órgão Especial. CONFLITO DE COMPETÊNCIA </w:t>
      </w:r>
      <w:proofErr w:type="gramStart"/>
      <w:r w:rsidRPr="0080466D">
        <w:rPr>
          <w:rStyle w:val="hidden-text"/>
          <w:i/>
          <w:iCs/>
          <w:color w:val="000000"/>
        </w:rPr>
        <w:t>ACOLHIDO</w:t>
      </w:r>
      <w:r w:rsidRPr="0080466D">
        <w:rPr>
          <w:rStyle w:val="hidden-text"/>
          <w:color w:val="000000"/>
        </w:rPr>
        <w:t>.</w:t>
      </w:r>
      <w:proofErr w:type="gramEnd"/>
      <w:r w:rsidRPr="0080466D">
        <w:rPr>
          <w:rStyle w:val="hidden-text"/>
          <w:color w:val="000000"/>
        </w:rPr>
        <w:t xml:space="preserve">(Conflito de Competência, Nº 70076029750, Tribunal Pleno, Tribunal de Justiça do RS, Relator: Carlos Eduardo </w:t>
      </w:r>
      <w:proofErr w:type="spellStart"/>
      <w:r w:rsidRPr="0080466D">
        <w:rPr>
          <w:rStyle w:val="hidden-text"/>
          <w:color w:val="000000"/>
        </w:rPr>
        <w:t>Zietlow</w:t>
      </w:r>
      <w:proofErr w:type="spellEnd"/>
      <w:r w:rsidRPr="0080466D">
        <w:rPr>
          <w:rStyle w:val="hidden-text"/>
          <w:color w:val="000000"/>
        </w:rPr>
        <w:t xml:space="preserve"> Duro, Julgado em: 27-11-2017)</w:t>
      </w:r>
      <w:r w:rsidR="00E64C7C">
        <w:rPr>
          <w:rStyle w:val="hidden-text"/>
          <w:color w:val="000000"/>
        </w:rPr>
        <w:t>.</w:t>
      </w:r>
    </w:p>
    <w:p w:rsidR="00DD3908" w:rsidRPr="00DD3908" w:rsidRDefault="00DD3908" w:rsidP="00DD3908">
      <w:pPr>
        <w:pStyle w:val="NormalWeb"/>
        <w:shd w:val="clear" w:color="auto" w:fill="FFFFFF"/>
        <w:spacing w:before="0" w:beforeAutospacing="0" w:after="0" w:afterAutospacing="0"/>
        <w:ind w:left="1701"/>
        <w:jc w:val="both"/>
      </w:pPr>
    </w:p>
    <w:p w:rsidR="009A03B9" w:rsidRDefault="009A03B9" w:rsidP="009A03B9">
      <w:pPr>
        <w:spacing w:line="360" w:lineRule="auto"/>
        <w:ind w:firstLine="1701"/>
        <w:jc w:val="both"/>
        <w:rPr>
          <w:rFonts w:ascii="Times New Roman" w:hAnsi="Times New Roman"/>
          <w:iCs/>
        </w:rPr>
      </w:pPr>
    </w:p>
    <w:p w:rsidR="00A209E6" w:rsidRDefault="003C5D01" w:rsidP="00A209E6">
      <w:pPr>
        <w:spacing w:line="360" w:lineRule="auto"/>
        <w:ind w:firstLine="1701"/>
        <w:jc w:val="both"/>
        <w:rPr>
          <w:rFonts w:ascii="Times New Roman" w:hAnsi="Times New Roman"/>
          <w:sz w:val="28"/>
          <w:szCs w:val="28"/>
        </w:rPr>
      </w:pPr>
      <w:r>
        <w:rPr>
          <w:rFonts w:ascii="Times New Roman" w:hAnsi="Times New Roman"/>
          <w:b/>
          <w:sz w:val="28"/>
          <w:szCs w:val="28"/>
        </w:rPr>
        <w:t>3</w:t>
      </w:r>
      <w:r w:rsidR="007F21F0" w:rsidRPr="004B770F">
        <w:rPr>
          <w:rFonts w:ascii="Times New Roman" w:hAnsi="Times New Roman"/>
          <w:b/>
          <w:sz w:val="28"/>
          <w:szCs w:val="28"/>
        </w:rPr>
        <w:t xml:space="preserve">. </w:t>
      </w:r>
      <w:r w:rsidR="00A209E6">
        <w:rPr>
          <w:rFonts w:ascii="Times New Roman" w:hAnsi="Times New Roman"/>
          <w:b/>
          <w:sz w:val="28"/>
          <w:szCs w:val="28"/>
        </w:rPr>
        <w:t xml:space="preserve">Pelo exposto, </w:t>
      </w:r>
      <w:r w:rsidR="00A209E6">
        <w:rPr>
          <w:rFonts w:ascii="Times New Roman" w:hAnsi="Times New Roman"/>
          <w:sz w:val="28"/>
          <w:szCs w:val="28"/>
        </w:rPr>
        <w:t xml:space="preserve">o </w:t>
      </w:r>
      <w:r w:rsidR="00A209E6">
        <w:rPr>
          <w:rFonts w:ascii="Times New Roman" w:hAnsi="Times New Roman"/>
          <w:b/>
          <w:sz w:val="28"/>
          <w:szCs w:val="28"/>
        </w:rPr>
        <w:t xml:space="preserve">MINISTÉRIO PÚBLICO </w:t>
      </w:r>
      <w:r w:rsidR="00DD3908">
        <w:rPr>
          <w:rFonts w:ascii="Times New Roman" w:hAnsi="Times New Roman"/>
          <w:sz w:val="28"/>
          <w:szCs w:val="28"/>
        </w:rPr>
        <w:t>opina pelo des</w:t>
      </w:r>
      <w:r w:rsidR="005429BC">
        <w:rPr>
          <w:rFonts w:ascii="Times New Roman" w:hAnsi="Times New Roman"/>
          <w:sz w:val="28"/>
          <w:szCs w:val="28"/>
        </w:rPr>
        <w:t>a</w:t>
      </w:r>
      <w:r w:rsidR="00DD3908">
        <w:rPr>
          <w:rFonts w:ascii="Times New Roman" w:hAnsi="Times New Roman"/>
          <w:sz w:val="28"/>
          <w:szCs w:val="28"/>
        </w:rPr>
        <w:t xml:space="preserve">colhimento das </w:t>
      </w:r>
      <w:r w:rsidR="005429BC">
        <w:rPr>
          <w:rFonts w:ascii="Times New Roman" w:hAnsi="Times New Roman"/>
          <w:sz w:val="28"/>
          <w:szCs w:val="28"/>
        </w:rPr>
        <w:t>prefaciais suscitadas, nos moldes acima delineados.</w:t>
      </w:r>
    </w:p>
    <w:p w:rsidR="005834B0" w:rsidRPr="00A209E6" w:rsidRDefault="005834B0" w:rsidP="00A209E6">
      <w:pPr>
        <w:spacing w:line="360" w:lineRule="auto"/>
        <w:ind w:firstLine="1701"/>
        <w:jc w:val="both"/>
        <w:rPr>
          <w:rFonts w:ascii="Times New Roman" w:hAnsi="Times New Roman"/>
          <w:sz w:val="28"/>
          <w:szCs w:val="28"/>
        </w:rPr>
      </w:pPr>
    </w:p>
    <w:p w:rsidR="007F21F0" w:rsidRPr="004B770F" w:rsidRDefault="007F21F0" w:rsidP="007F21F0">
      <w:pPr>
        <w:spacing w:line="360" w:lineRule="auto"/>
        <w:ind w:firstLine="1701"/>
        <w:jc w:val="both"/>
        <w:rPr>
          <w:rFonts w:ascii="Times New Roman" w:hAnsi="Times New Roman"/>
          <w:sz w:val="28"/>
          <w:szCs w:val="28"/>
        </w:rPr>
      </w:pPr>
      <w:r w:rsidRPr="004B770F">
        <w:rPr>
          <w:rFonts w:ascii="Times New Roman" w:hAnsi="Times New Roman"/>
          <w:sz w:val="28"/>
          <w:szCs w:val="28"/>
        </w:rPr>
        <w:t xml:space="preserve">Porto Alegre, </w:t>
      </w:r>
      <w:r w:rsidR="00CD25B3">
        <w:rPr>
          <w:rFonts w:ascii="Times New Roman" w:hAnsi="Times New Roman"/>
          <w:sz w:val="28"/>
          <w:szCs w:val="28"/>
        </w:rPr>
        <w:fldChar w:fldCharType="begin"/>
      </w:r>
      <w:r w:rsidR="004934A6">
        <w:rPr>
          <w:rFonts w:ascii="Times New Roman" w:hAnsi="Times New Roman"/>
          <w:sz w:val="28"/>
          <w:szCs w:val="28"/>
        </w:rPr>
        <w:instrText xml:space="preserve"> TIME \@ "d' de 'MMMM' de 'yyyy" </w:instrText>
      </w:r>
      <w:r w:rsidR="00CD25B3">
        <w:rPr>
          <w:rFonts w:ascii="Times New Roman" w:hAnsi="Times New Roman"/>
          <w:sz w:val="28"/>
          <w:szCs w:val="28"/>
        </w:rPr>
        <w:fldChar w:fldCharType="separate"/>
      </w:r>
      <w:r w:rsidR="00E4586C">
        <w:rPr>
          <w:rFonts w:ascii="Times New Roman" w:hAnsi="Times New Roman"/>
          <w:noProof/>
          <w:sz w:val="28"/>
          <w:szCs w:val="28"/>
        </w:rPr>
        <w:t>23 de agosto de 2021</w:t>
      </w:r>
      <w:r w:rsidR="00CD25B3">
        <w:rPr>
          <w:rFonts w:ascii="Times New Roman" w:hAnsi="Times New Roman"/>
          <w:sz w:val="28"/>
          <w:szCs w:val="28"/>
        </w:rPr>
        <w:fldChar w:fldCharType="end"/>
      </w:r>
      <w:r w:rsidRPr="004B770F">
        <w:rPr>
          <w:rFonts w:ascii="Times New Roman" w:hAnsi="Times New Roman"/>
          <w:sz w:val="28"/>
          <w:szCs w:val="28"/>
        </w:rPr>
        <w:t>.</w:t>
      </w:r>
    </w:p>
    <w:p w:rsidR="004934A6" w:rsidRDefault="004934A6" w:rsidP="00C2398D">
      <w:pPr>
        <w:pStyle w:val="Corpodetexto"/>
        <w:jc w:val="both"/>
        <w:rPr>
          <w:rFonts w:ascii="Times New Roman" w:hAnsi="Times New Roman"/>
          <w:sz w:val="28"/>
          <w:szCs w:val="28"/>
        </w:rPr>
      </w:pPr>
    </w:p>
    <w:p w:rsidR="004934A6" w:rsidRDefault="004934A6" w:rsidP="00C2398D">
      <w:pPr>
        <w:pStyle w:val="Corpodetexto"/>
        <w:jc w:val="both"/>
        <w:rPr>
          <w:rFonts w:ascii="Times New Roman" w:hAnsi="Times New Roman"/>
          <w:sz w:val="28"/>
          <w:szCs w:val="28"/>
        </w:rPr>
      </w:pPr>
    </w:p>
    <w:p w:rsidR="00DC2898" w:rsidRPr="00D555BB" w:rsidRDefault="00DC2898" w:rsidP="00DC2898">
      <w:pPr>
        <w:spacing w:line="360" w:lineRule="auto"/>
        <w:jc w:val="center"/>
        <w:rPr>
          <w:rFonts w:ascii="Times New Roman" w:hAnsi="Times New Roman"/>
          <w:b/>
          <w:sz w:val="28"/>
          <w:szCs w:val="28"/>
        </w:rPr>
      </w:pPr>
      <w:r w:rsidRPr="00D555BB">
        <w:rPr>
          <w:rFonts w:ascii="Times New Roman" w:hAnsi="Times New Roman"/>
          <w:b/>
          <w:caps/>
          <w:sz w:val="28"/>
          <w:szCs w:val="28"/>
        </w:rPr>
        <w:t>ANGELA SALTON ROTUNNO</w:t>
      </w:r>
      <w:r w:rsidRPr="00D555BB">
        <w:rPr>
          <w:rFonts w:ascii="Times New Roman" w:hAnsi="Times New Roman"/>
          <w:b/>
          <w:sz w:val="28"/>
          <w:szCs w:val="28"/>
        </w:rPr>
        <w:t>,</w:t>
      </w:r>
    </w:p>
    <w:p w:rsidR="00DC2898" w:rsidRPr="00D555BB" w:rsidRDefault="00DC2898" w:rsidP="00DC2898">
      <w:pPr>
        <w:spacing w:line="360" w:lineRule="auto"/>
        <w:jc w:val="center"/>
        <w:rPr>
          <w:rFonts w:ascii="Times New Roman" w:hAnsi="Times New Roman"/>
          <w:sz w:val="28"/>
          <w:szCs w:val="28"/>
        </w:rPr>
      </w:pPr>
      <w:r w:rsidRPr="00D555BB">
        <w:rPr>
          <w:rFonts w:ascii="Times New Roman" w:hAnsi="Times New Roman"/>
          <w:sz w:val="28"/>
          <w:szCs w:val="28"/>
        </w:rPr>
        <w:t>Procuradora-Geral de Justiça, em exercício.</w:t>
      </w:r>
    </w:p>
    <w:p w:rsidR="00DC2898" w:rsidRPr="00D555BB" w:rsidRDefault="00DC2898" w:rsidP="00DC2898">
      <w:pPr>
        <w:spacing w:line="360" w:lineRule="auto"/>
        <w:jc w:val="center"/>
        <w:rPr>
          <w:rFonts w:ascii="Times New Roman" w:hAnsi="Times New Roman"/>
        </w:rPr>
      </w:pPr>
      <w:r w:rsidRPr="00D555BB">
        <w:rPr>
          <w:rFonts w:ascii="Times New Roman" w:hAnsi="Times New Roman"/>
        </w:rPr>
        <w:t>(Este é um documento eletrônico assinado digitalmente pela signatária)</w:t>
      </w:r>
    </w:p>
    <w:sectPr w:rsidR="00DC2898" w:rsidRPr="00D555BB" w:rsidSect="00D845A7">
      <w:headerReference w:type="default" r:id="rId8"/>
      <w:footerReference w:type="even" r:id="rId9"/>
      <w:footerReference w:type="default" r:id="rId10"/>
      <w:headerReference w:type="first" r:id="rId11"/>
      <w:footerReference w:type="first" r:id="rId12"/>
      <w:pgSz w:w="11913" w:h="16834" w:code="9"/>
      <w:pgMar w:top="2835" w:right="1985" w:bottom="1134" w:left="1134" w:header="794" w:footer="1134" w:gutter="10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4E" w:rsidRDefault="00CE4D4E" w:rsidP="007F21F0">
      <w:r>
        <w:separator/>
      </w:r>
    </w:p>
  </w:endnote>
  <w:endnote w:type="continuationSeparator" w:id="0">
    <w:p w:rsidR="00CE4D4E" w:rsidRDefault="00CE4D4E" w:rsidP="007F2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4E" w:rsidRDefault="00CE4D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4D4E" w:rsidRDefault="00CE4D4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4E" w:rsidRDefault="00CE4D4E">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4586C">
      <w:rPr>
        <w:rStyle w:val="Nmerodepgina"/>
        <w:noProof/>
        <w:sz w:val="16"/>
      </w:rPr>
      <w:t>13</w:t>
    </w:r>
    <w:r>
      <w:rPr>
        <w:rStyle w:val="Nmerodepgina"/>
        <w:sz w:val="16"/>
      </w:rPr>
      <w:fldChar w:fldCharType="end"/>
    </w:r>
  </w:p>
  <w:p w:rsidR="00CE4D4E" w:rsidRPr="002805CC" w:rsidRDefault="00CE4D4E">
    <w:pPr>
      <w:pStyle w:val="Rodap"/>
      <w:pBdr>
        <w:top w:val="single" w:sz="4" w:space="1" w:color="auto"/>
      </w:pBdr>
      <w:ind w:right="360"/>
      <w:rPr>
        <w:rFonts w:ascii="Times New Roman" w:hAnsi="Times New Roman"/>
        <w:sz w:val="18"/>
        <w:szCs w:val="18"/>
      </w:rPr>
    </w:pPr>
    <w:r w:rsidRPr="002805CC">
      <w:rPr>
        <w:rFonts w:ascii="Times New Roman" w:hAnsi="Times New Roman"/>
        <w:sz w:val="18"/>
        <w:szCs w:val="18"/>
      </w:rPr>
      <w:t>SUBJUR N.º</w:t>
    </w:r>
    <w:r>
      <w:rPr>
        <w:rFonts w:ascii="Times New Roman" w:hAnsi="Times New Roman"/>
        <w:sz w:val="18"/>
        <w:szCs w:val="18"/>
      </w:rPr>
      <w:t xml:space="preserve"> 556/2021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4E" w:rsidRPr="008A2B84" w:rsidRDefault="00CE4D4E">
    <w:pPr>
      <w:pStyle w:val="Rodap"/>
      <w:pBdr>
        <w:top w:val="single" w:sz="4" w:space="1" w:color="auto"/>
      </w:pBdr>
      <w:rPr>
        <w:rFonts w:ascii="Times New Roman" w:hAnsi="Times New Roman"/>
        <w:sz w:val="18"/>
        <w:szCs w:val="18"/>
      </w:rPr>
    </w:pPr>
    <w:r>
      <w:rPr>
        <w:rFonts w:ascii="Times New Roman" w:hAnsi="Times New Roman"/>
        <w:sz w:val="18"/>
        <w:szCs w:val="18"/>
      </w:rPr>
      <w:t>SUBJUR N.º 556/2021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4E" w:rsidRDefault="00CE4D4E" w:rsidP="007F21F0">
      <w:r>
        <w:separator/>
      </w:r>
    </w:p>
  </w:footnote>
  <w:footnote w:type="continuationSeparator" w:id="0">
    <w:p w:rsidR="00CE4D4E" w:rsidRDefault="00CE4D4E" w:rsidP="007F21F0">
      <w:r>
        <w:continuationSeparator/>
      </w:r>
    </w:p>
  </w:footnote>
  <w:footnote w:id="1">
    <w:p w:rsidR="00CE4D4E" w:rsidRPr="0013592C" w:rsidRDefault="00CE4D4E" w:rsidP="0013592C">
      <w:pPr>
        <w:pStyle w:val="Textodenotaderodap"/>
        <w:jc w:val="both"/>
      </w:pPr>
      <w:r>
        <w:rPr>
          <w:rStyle w:val="Refdenotaderodap"/>
        </w:rPr>
        <w:footnoteRef/>
      </w:r>
      <w:r>
        <w:t xml:space="preserve"> O Procurador-Geral do Estado aventa a hipótese da prática de </w:t>
      </w:r>
      <w:r>
        <w:rPr>
          <w:i/>
        </w:rPr>
        <w:t>contravenção penal e improbidade administrativa</w:t>
      </w:r>
      <w:r>
        <w:t xml:space="preserve">, tendo anunciado que a situação seria comunicada ao Ministério Público Estadual </w:t>
      </w:r>
      <w:r>
        <w:rPr>
          <w:i/>
        </w:rPr>
        <w:t>para as eventuais providências cabíveis</w:t>
      </w:r>
      <w:r>
        <w:t xml:space="preserve"> (fl. 194).</w:t>
      </w:r>
    </w:p>
  </w:footnote>
  <w:footnote w:id="2">
    <w:p w:rsidR="00CE4D4E" w:rsidRPr="0090643F" w:rsidRDefault="00CE4D4E" w:rsidP="0090643F">
      <w:pPr>
        <w:pStyle w:val="Textodenotaderodap"/>
        <w:jc w:val="both"/>
      </w:pPr>
      <w:r>
        <w:rPr>
          <w:rStyle w:val="Refdenotaderodap"/>
        </w:rPr>
        <w:footnoteRef/>
      </w:r>
      <w:r>
        <w:t xml:space="preserve"> Nesse sentido: </w:t>
      </w:r>
      <w:r w:rsidRPr="0090643F">
        <w:rPr>
          <w:i/>
          <w:iCs/>
        </w:rPr>
        <w:t xml:space="preserve">Para a caracterização da prevenção, cujo escopo maior é evitar decisões contraditórias, reclama-se, em linha de princípio, que as ações sejam conexas e que estejam em curso. Pode o órgão jurisdicional ficar prevento também por força de normas de organização judiciária local ou de natureza regimental, que, como cediço, não ensejam controle na via extraordinária do recurso especial </w:t>
      </w:r>
      <w:r w:rsidRPr="0090643F">
        <w:t xml:space="preserve">(STJ-4ª T., </w:t>
      </w:r>
      <w:proofErr w:type="spellStart"/>
      <w:proofErr w:type="gramStart"/>
      <w:r w:rsidRPr="0090643F">
        <w:t>REsp</w:t>
      </w:r>
      <w:proofErr w:type="spellEnd"/>
      <w:proofErr w:type="gramEnd"/>
      <w:r w:rsidRPr="0090643F">
        <w:t xml:space="preserve"> 9.490, Min. Sálvio de Figueiredo, j. 6.8.91, DJU 9.9.91)</w:t>
      </w:r>
      <w:r>
        <w:t>.</w:t>
      </w:r>
    </w:p>
  </w:footnote>
  <w:footnote w:id="3">
    <w:p w:rsidR="00CE4D4E" w:rsidRPr="00E35A70" w:rsidRDefault="00CE4D4E" w:rsidP="00E35A70">
      <w:pPr>
        <w:jc w:val="both"/>
        <w:rPr>
          <w:rFonts w:ascii="Times New Roman" w:hAnsi="Times New Roman"/>
          <w:sz w:val="20"/>
          <w:szCs w:val="20"/>
        </w:rPr>
      </w:pPr>
      <w:r w:rsidRPr="00E35A70">
        <w:rPr>
          <w:rStyle w:val="Refdenotaderodap"/>
          <w:rFonts w:ascii="Times New Roman" w:hAnsi="Times New Roman"/>
          <w:sz w:val="20"/>
          <w:szCs w:val="20"/>
        </w:rPr>
        <w:footnoteRef/>
      </w:r>
      <w:r w:rsidRPr="00E35A70">
        <w:rPr>
          <w:rFonts w:ascii="Times New Roman" w:hAnsi="Times New Roman"/>
          <w:sz w:val="20"/>
          <w:szCs w:val="20"/>
        </w:rPr>
        <w:t xml:space="preserve"> </w:t>
      </w:r>
      <w:r w:rsidRPr="00E35A70">
        <w:rPr>
          <w:rFonts w:ascii="Times New Roman" w:hAnsi="Times New Roman"/>
          <w:spacing w:val="2"/>
          <w:sz w:val="20"/>
          <w:szCs w:val="20"/>
          <w:shd w:val="clear" w:color="auto" w:fill="FFFFFF"/>
        </w:rPr>
        <w:t>(STJ - CC: 164765 PR 2019/0089417-0, Relator</w:t>
      </w:r>
      <w:r>
        <w:rPr>
          <w:rFonts w:ascii="Times New Roman" w:hAnsi="Times New Roman"/>
          <w:spacing w:val="2"/>
          <w:sz w:val="20"/>
          <w:szCs w:val="20"/>
          <w:shd w:val="clear" w:color="auto" w:fill="FFFFFF"/>
        </w:rPr>
        <w:t>a</w:t>
      </w:r>
      <w:r w:rsidRPr="00E35A70">
        <w:rPr>
          <w:rFonts w:ascii="Times New Roman" w:hAnsi="Times New Roman"/>
          <w:spacing w:val="2"/>
          <w:sz w:val="20"/>
          <w:szCs w:val="20"/>
          <w:shd w:val="clear" w:color="auto" w:fill="FFFFFF"/>
        </w:rPr>
        <w:t>: Ministra MARIA ISABEL GALLOTTI, Data de Publicação: DJ 01/10/2019)</w:t>
      </w:r>
      <w:r>
        <w:rPr>
          <w:rFonts w:ascii="Times New Roman" w:hAnsi="Times New Roman"/>
          <w:spacing w:val="2"/>
          <w:sz w:val="20"/>
          <w:szCs w:val="20"/>
          <w:shd w:val="clear" w:color="auto" w:fill="FFFFFF"/>
        </w:rPr>
        <w:t>.</w:t>
      </w:r>
    </w:p>
  </w:footnote>
  <w:footnote w:id="4">
    <w:p w:rsidR="00A4663E" w:rsidRDefault="00A4663E" w:rsidP="00A4663E">
      <w:pPr>
        <w:pStyle w:val="Textodenotaderodap"/>
        <w:jc w:val="both"/>
      </w:pPr>
      <w:r>
        <w:rPr>
          <w:rStyle w:val="Refdenotaderodap"/>
        </w:rPr>
        <w:footnoteRef/>
      </w:r>
      <w:r>
        <w:t xml:space="preserve"> </w:t>
      </w:r>
      <w:r w:rsidRPr="00A4663E">
        <w:rPr>
          <w:i/>
        </w:rPr>
        <w:t>Art. 926. Os tribunais devem uniformizar sua jurisprudência e mantê-la estável, íntegra e coerente.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4E" w:rsidRPr="00CF132F" w:rsidRDefault="00CE4D4E" w:rsidP="00D845A7">
    <w:pPr>
      <w:pStyle w:val="Cabealho"/>
      <w:jc w:val="center"/>
      <w:rPr>
        <w:rFonts w:ascii="Times New Roman" w:hAnsi="Times New Roman"/>
        <w:sz w:val="20"/>
        <w:szCs w:val="20"/>
      </w:rPr>
    </w:pPr>
    <w:r>
      <w:rPr>
        <w:rFonts w:ascii="Times New Roman" w:hAnsi="Times New Roman"/>
        <w:noProof/>
        <w:sz w:val="20"/>
        <w:szCs w:val="20"/>
      </w:rPr>
      <w:drawing>
        <wp:inline distT="0" distB="0" distL="0" distR="0">
          <wp:extent cx="723265" cy="906145"/>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CE4D4E" w:rsidRPr="00CF132F" w:rsidRDefault="00CE4D4E" w:rsidP="00D845A7">
    <w:pPr>
      <w:jc w:val="center"/>
      <w:rPr>
        <w:rFonts w:ascii="Times New Roman" w:hAnsi="Times New Roman"/>
        <w:sz w:val="20"/>
        <w:szCs w:val="20"/>
      </w:rPr>
    </w:pPr>
    <w:r w:rsidRPr="00CF132F">
      <w:rPr>
        <w:rFonts w:ascii="Times New Roman" w:hAnsi="Times New Roman"/>
        <w:sz w:val="20"/>
        <w:szCs w:val="20"/>
      </w:rPr>
      <w:t>MINISTÉRIO PÚBLICO DO ESTADO DO RIO GRANDE DO SUL</w:t>
    </w:r>
  </w:p>
  <w:p w:rsidR="00CE4D4E" w:rsidRPr="00CF132F" w:rsidRDefault="00CE4D4E" w:rsidP="00D845A7">
    <w:pPr>
      <w:tabs>
        <w:tab w:val="center" w:pos="3886"/>
        <w:tab w:val="right" w:pos="7773"/>
      </w:tabs>
      <w:jc w:val="center"/>
      <w:rPr>
        <w:rFonts w:ascii="Times New Roman" w:hAnsi="Times New Roman"/>
        <w:b/>
        <w:sz w:val="20"/>
        <w:szCs w:val="20"/>
      </w:rPr>
    </w:pPr>
    <w:r w:rsidRPr="00CF132F">
      <w:rPr>
        <w:rFonts w:ascii="Times New Roman" w:hAnsi="Times New Roman"/>
        <w:b/>
        <w:sz w:val="20"/>
        <w:szCs w:val="20"/>
      </w:rPr>
      <w:t>GABINETE DO PROCURADOR-GERAL DE JUSTIÇA</w:t>
    </w:r>
  </w:p>
  <w:p w:rsidR="00CE4D4E" w:rsidRPr="00CF132F" w:rsidRDefault="00CE4D4E" w:rsidP="00D845A7">
    <w:pPr>
      <w:pStyle w:val="Cabealho"/>
      <w:jc w:val="center"/>
      <w:rPr>
        <w:rFonts w:ascii="Times New Roman" w:hAnsi="Times New Roman"/>
        <w:b/>
        <w:sz w:val="20"/>
        <w:szCs w:val="20"/>
      </w:rPr>
    </w:pPr>
    <w:r w:rsidRPr="00CF132F">
      <w:rPr>
        <w:rFonts w:ascii="Times New Roman" w:hAnsi="Times New Roman"/>
        <w:sz w:val="20"/>
        <w:szCs w:val="20"/>
      </w:rPr>
      <w:t>pgj@mprs.mp.br</w:t>
    </w:r>
  </w:p>
  <w:p w:rsidR="00CE4D4E" w:rsidRDefault="00CE4D4E" w:rsidP="00D845A7">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4E" w:rsidRPr="002C7058" w:rsidRDefault="00CE4D4E" w:rsidP="00D845A7">
    <w:pPr>
      <w:pStyle w:val="Cabealho"/>
      <w:jc w:val="center"/>
      <w:rPr>
        <w:rFonts w:ascii="Times New Roman" w:hAnsi="Times New Roman"/>
        <w:sz w:val="20"/>
        <w:szCs w:val="20"/>
      </w:rPr>
    </w:pPr>
    <w:r>
      <w:rPr>
        <w:rFonts w:ascii="Times New Roman" w:hAnsi="Times New Roman"/>
        <w:noProof/>
        <w:sz w:val="20"/>
        <w:szCs w:val="20"/>
      </w:rPr>
      <w:drawing>
        <wp:inline distT="0" distB="0" distL="0" distR="0">
          <wp:extent cx="723265" cy="906145"/>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CE4D4E" w:rsidRPr="002C7058" w:rsidRDefault="00CE4D4E" w:rsidP="00D845A7">
    <w:pPr>
      <w:jc w:val="center"/>
      <w:rPr>
        <w:rFonts w:ascii="Times New Roman" w:hAnsi="Times New Roman"/>
        <w:sz w:val="20"/>
        <w:szCs w:val="20"/>
      </w:rPr>
    </w:pPr>
    <w:r w:rsidRPr="002C7058">
      <w:rPr>
        <w:rFonts w:ascii="Times New Roman" w:hAnsi="Times New Roman"/>
        <w:sz w:val="20"/>
        <w:szCs w:val="20"/>
      </w:rPr>
      <w:t>MINISTÉRIO PÚBLICO DO ESTADO DO RIO GRANDE DO SUL</w:t>
    </w:r>
  </w:p>
  <w:p w:rsidR="00CE4D4E" w:rsidRPr="002C7058" w:rsidRDefault="00CE4D4E" w:rsidP="00D845A7">
    <w:pPr>
      <w:jc w:val="center"/>
      <w:rPr>
        <w:rFonts w:ascii="Times New Roman" w:hAnsi="Times New Roman"/>
        <w:b/>
        <w:sz w:val="20"/>
        <w:szCs w:val="20"/>
      </w:rPr>
    </w:pPr>
    <w:r w:rsidRPr="002C7058">
      <w:rPr>
        <w:rFonts w:ascii="Times New Roman" w:hAnsi="Times New Roman"/>
        <w:b/>
        <w:sz w:val="20"/>
        <w:szCs w:val="20"/>
      </w:rPr>
      <w:t>GABINETE DO PROCURADOR-GERAL DE JUSTIÇA</w:t>
    </w:r>
  </w:p>
  <w:p w:rsidR="00CE4D4E" w:rsidRPr="002C7058" w:rsidRDefault="00CE4D4E" w:rsidP="00D845A7">
    <w:pPr>
      <w:pStyle w:val="Cabealho"/>
      <w:jc w:val="center"/>
      <w:rPr>
        <w:rFonts w:ascii="Times New Roman" w:hAnsi="Times New Roman"/>
        <w:b/>
        <w:sz w:val="20"/>
        <w:szCs w:val="20"/>
      </w:rPr>
    </w:pPr>
    <w:r w:rsidRPr="002C7058">
      <w:rPr>
        <w:rFonts w:ascii="Times New Roman" w:hAnsi="Times New Roman"/>
        <w:sz w:val="20"/>
        <w:szCs w:val="20"/>
      </w:rPr>
      <w:t>pgj@mprs.mp.br</w:t>
    </w:r>
  </w:p>
  <w:p w:rsidR="00CE4D4E" w:rsidRDefault="00CE4D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74FA"/>
    <w:multiLevelType w:val="hybridMultilevel"/>
    <w:tmpl w:val="D630A28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318D3955"/>
    <w:multiLevelType w:val="hybridMultilevel"/>
    <w:tmpl w:val="48E4AF0C"/>
    <w:lvl w:ilvl="0" w:tplc="F5D82A4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F21F0"/>
    <w:rsid w:val="000069E9"/>
    <w:rsid w:val="00012E45"/>
    <w:rsid w:val="00015FE1"/>
    <w:rsid w:val="00027AEF"/>
    <w:rsid w:val="00033EF1"/>
    <w:rsid w:val="00034D27"/>
    <w:rsid w:val="00034E8D"/>
    <w:rsid w:val="000439A7"/>
    <w:rsid w:val="00045EA9"/>
    <w:rsid w:val="00057C8C"/>
    <w:rsid w:val="000617C1"/>
    <w:rsid w:val="00063D6C"/>
    <w:rsid w:val="00063F3C"/>
    <w:rsid w:val="00065A43"/>
    <w:rsid w:val="00066607"/>
    <w:rsid w:val="00076742"/>
    <w:rsid w:val="000778D1"/>
    <w:rsid w:val="000879FD"/>
    <w:rsid w:val="000929F4"/>
    <w:rsid w:val="00094A94"/>
    <w:rsid w:val="00095739"/>
    <w:rsid w:val="00097F4F"/>
    <w:rsid w:val="000A0F60"/>
    <w:rsid w:val="000A22DB"/>
    <w:rsid w:val="000B245A"/>
    <w:rsid w:val="000B2D63"/>
    <w:rsid w:val="000B2EA2"/>
    <w:rsid w:val="000C2591"/>
    <w:rsid w:val="000D0D35"/>
    <w:rsid w:val="000D13B0"/>
    <w:rsid w:val="000D247B"/>
    <w:rsid w:val="000D248A"/>
    <w:rsid w:val="000E3D2C"/>
    <w:rsid w:val="000E3EFD"/>
    <w:rsid w:val="000F5AD5"/>
    <w:rsid w:val="00104A7A"/>
    <w:rsid w:val="00106AC2"/>
    <w:rsid w:val="0011009D"/>
    <w:rsid w:val="00112768"/>
    <w:rsid w:val="00124615"/>
    <w:rsid w:val="00134413"/>
    <w:rsid w:val="0013592C"/>
    <w:rsid w:val="00135C6E"/>
    <w:rsid w:val="00135D05"/>
    <w:rsid w:val="0014702E"/>
    <w:rsid w:val="00150902"/>
    <w:rsid w:val="00152DD1"/>
    <w:rsid w:val="00160471"/>
    <w:rsid w:val="00173E70"/>
    <w:rsid w:val="00174A27"/>
    <w:rsid w:val="00174CE3"/>
    <w:rsid w:val="00176587"/>
    <w:rsid w:val="00176919"/>
    <w:rsid w:val="00180F60"/>
    <w:rsid w:val="00182957"/>
    <w:rsid w:val="00182A1A"/>
    <w:rsid w:val="00186F83"/>
    <w:rsid w:val="00195E6E"/>
    <w:rsid w:val="001A5BFB"/>
    <w:rsid w:val="001B0121"/>
    <w:rsid w:val="001B0A5B"/>
    <w:rsid w:val="001B7048"/>
    <w:rsid w:val="001C4797"/>
    <w:rsid w:val="001C5226"/>
    <w:rsid w:val="001C6C1B"/>
    <w:rsid w:val="001F2D5B"/>
    <w:rsid w:val="001F6440"/>
    <w:rsid w:val="001F7D53"/>
    <w:rsid w:val="00202126"/>
    <w:rsid w:val="0020346B"/>
    <w:rsid w:val="002057F7"/>
    <w:rsid w:val="002058F2"/>
    <w:rsid w:val="002075F7"/>
    <w:rsid w:val="002124A4"/>
    <w:rsid w:val="0022248A"/>
    <w:rsid w:val="00223705"/>
    <w:rsid w:val="002242CA"/>
    <w:rsid w:val="002246E7"/>
    <w:rsid w:val="002328E1"/>
    <w:rsid w:val="002334D3"/>
    <w:rsid w:val="002337F4"/>
    <w:rsid w:val="00242FF9"/>
    <w:rsid w:val="00246E98"/>
    <w:rsid w:val="002501EB"/>
    <w:rsid w:val="00251CD3"/>
    <w:rsid w:val="002523A7"/>
    <w:rsid w:val="00253C97"/>
    <w:rsid w:val="00261415"/>
    <w:rsid w:val="00263584"/>
    <w:rsid w:val="002706E5"/>
    <w:rsid w:val="00270E54"/>
    <w:rsid w:val="0028070F"/>
    <w:rsid w:val="00291044"/>
    <w:rsid w:val="002A2E55"/>
    <w:rsid w:val="002A56CB"/>
    <w:rsid w:val="002A5805"/>
    <w:rsid w:val="002B0737"/>
    <w:rsid w:val="002B254A"/>
    <w:rsid w:val="002B4481"/>
    <w:rsid w:val="002B4EAE"/>
    <w:rsid w:val="002B58B0"/>
    <w:rsid w:val="002B7907"/>
    <w:rsid w:val="002B7BE7"/>
    <w:rsid w:val="002C0B42"/>
    <w:rsid w:val="002C1D4E"/>
    <w:rsid w:val="002C5446"/>
    <w:rsid w:val="002C635F"/>
    <w:rsid w:val="002C6417"/>
    <w:rsid w:val="002D2973"/>
    <w:rsid w:val="002D7CD1"/>
    <w:rsid w:val="002E382C"/>
    <w:rsid w:val="002F3B2E"/>
    <w:rsid w:val="00301468"/>
    <w:rsid w:val="00311E50"/>
    <w:rsid w:val="003164B9"/>
    <w:rsid w:val="003178C4"/>
    <w:rsid w:val="0032157F"/>
    <w:rsid w:val="003243E4"/>
    <w:rsid w:val="003276F1"/>
    <w:rsid w:val="00331312"/>
    <w:rsid w:val="0035059E"/>
    <w:rsid w:val="003537FE"/>
    <w:rsid w:val="00354399"/>
    <w:rsid w:val="003543E0"/>
    <w:rsid w:val="00364117"/>
    <w:rsid w:val="00370C41"/>
    <w:rsid w:val="003751DC"/>
    <w:rsid w:val="00381C8B"/>
    <w:rsid w:val="0039211A"/>
    <w:rsid w:val="00392565"/>
    <w:rsid w:val="0039299B"/>
    <w:rsid w:val="0039373F"/>
    <w:rsid w:val="003B594F"/>
    <w:rsid w:val="003B5C4F"/>
    <w:rsid w:val="003B5F92"/>
    <w:rsid w:val="003B63C4"/>
    <w:rsid w:val="003B7237"/>
    <w:rsid w:val="003C4CB4"/>
    <w:rsid w:val="003C5963"/>
    <w:rsid w:val="003C5D01"/>
    <w:rsid w:val="003C6869"/>
    <w:rsid w:val="003C6EA7"/>
    <w:rsid w:val="003D1219"/>
    <w:rsid w:val="003D6A93"/>
    <w:rsid w:val="003E5928"/>
    <w:rsid w:val="003F76F6"/>
    <w:rsid w:val="00400151"/>
    <w:rsid w:val="004038FE"/>
    <w:rsid w:val="0040545B"/>
    <w:rsid w:val="00407125"/>
    <w:rsid w:val="004141FC"/>
    <w:rsid w:val="004214F5"/>
    <w:rsid w:val="00422D3A"/>
    <w:rsid w:val="00444AE9"/>
    <w:rsid w:val="00456676"/>
    <w:rsid w:val="00464AAE"/>
    <w:rsid w:val="0046628F"/>
    <w:rsid w:val="004664C2"/>
    <w:rsid w:val="00467C63"/>
    <w:rsid w:val="00470DBA"/>
    <w:rsid w:val="00472E7C"/>
    <w:rsid w:val="00481C9B"/>
    <w:rsid w:val="0048637B"/>
    <w:rsid w:val="004934A6"/>
    <w:rsid w:val="0049512F"/>
    <w:rsid w:val="00495B61"/>
    <w:rsid w:val="004A35B4"/>
    <w:rsid w:val="004B2279"/>
    <w:rsid w:val="004C5FF2"/>
    <w:rsid w:val="004C68B6"/>
    <w:rsid w:val="004C7B48"/>
    <w:rsid w:val="004E2C27"/>
    <w:rsid w:val="004F0B28"/>
    <w:rsid w:val="00502113"/>
    <w:rsid w:val="005079AF"/>
    <w:rsid w:val="00513EF8"/>
    <w:rsid w:val="0051578F"/>
    <w:rsid w:val="0051587E"/>
    <w:rsid w:val="0051662C"/>
    <w:rsid w:val="00526512"/>
    <w:rsid w:val="00526E67"/>
    <w:rsid w:val="0053329C"/>
    <w:rsid w:val="00537B82"/>
    <w:rsid w:val="00541E95"/>
    <w:rsid w:val="00542624"/>
    <w:rsid w:val="005429BC"/>
    <w:rsid w:val="00545B93"/>
    <w:rsid w:val="005525A0"/>
    <w:rsid w:val="0055398B"/>
    <w:rsid w:val="00554188"/>
    <w:rsid w:val="00554E7D"/>
    <w:rsid w:val="0056024F"/>
    <w:rsid w:val="00560918"/>
    <w:rsid w:val="00560C42"/>
    <w:rsid w:val="005745B9"/>
    <w:rsid w:val="00580E84"/>
    <w:rsid w:val="00582CA5"/>
    <w:rsid w:val="005834B0"/>
    <w:rsid w:val="00585AE3"/>
    <w:rsid w:val="00596635"/>
    <w:rsid w:val="005A00B1"/>
    <w:rsid w:val="005A0380"/>
    <w:rsid w:val="005A4625"/>
    <w:rsid w:val="005B388F"/>
    <w:rsid w:val="005C3587"/>
    <w:rsid w:val="005C4B58"/>
    <w:rsid w:val="005D07A2"/>
    <w:rsid w:val="005D16DA"/>
    <w:rsid w:val="005D6A04"/>
    <w:rsid w:val="005D78E2"/>
    <w:rsid w:val="005E298C"/>
    <w:rsid w:val="005E569B"/>
    <w:rsid w:val="005F2B40"/>
    <w:rsid w:val="005F2ED3"/>
    <w:rsid w:val="005F5C9E"/>
    <w:rsid w:val="005F7FCB"/>
    <w:rsid w:val="00600009"/>
    <w:rsid w:val="00606F61"/>
    <w:rsid w:val="006203AD"/>
    <w:rsid w:val="00621E85"/>
    <w:rsid w:val="006250DE"/>
    <w:rsid w:val="006312E8"/>
    <w:rsid w:val="006333FA"/>
    <w:rsid w:val="00634DE2"/>
    <w:rsid w:val="006430BD"/>
    <w:rsid w:val="006502FC"/>
    <w:rsid w:val="006503D6"/>
    <w:rsid w:val="0065082F"/>
    <w:rsid w:val="00650FE8"/>
    <w:rsid w:val="00653388"/>
    <w:rsid w:val="006774D2"/>
    <w:rsid w:val="0068018C"/>
    <w:rsid w:val="00680541"/>
    <w:rsid w:val="00680F6D"/>
    <w:rsid w:val="006822FF"/>
    <w:rsid w:val="00690821"/>
    <w:rsid w:val="006B43B5"/>
    <w:rsid w:val="006B49CC"/>
    <w:rsid w:val="006B6ADC"/>
    <w:rsid w:val="006B6AEF"/>
    <w:rsid w:val="006B7D4E"/>
    <w:rsid w:val="006C4B93"/>
    <w:rsid w:val="006C4D4F"/>
    <w:rsid w:val="006C5E01"/>
    <w:rsid w:val="006D062F"/>
    <w:rsid w:val="006E3C23"/>
    <w:rsid w:val="006E5A22"/>
    <w:rsid w:val="006E73CF"/>
    <w:rsid w:val="006F5237"/>
    <w:rsid w:val="006F6282"/>
    <w:rsid w:val="006F7C70"/>
    <w:rsid w:val="00701BC7"/>
    <w:rsid w:val="007068B6"/>
    <w:rsid w:val="00712957"/>
    <w:rsid w:val="00732DB8"/>
    <w:rsid w:val="007334E5"/>
    <w:rsid w:val="00735311"/>
    <w:rsid w:val="00746631"/>
    <w:rsid w:val="0075752F"/>
    <w:rsid w:val="00762E90"/>
    <w:rsid w:val="00762F7E"/>
    <w:rsid w:val="007679AE"/>
    <w:rsid w:val="00776B13"/>
    <w:rsid w:val="00776B6B"/>
    <w:rsid w:val="00780C2F"/>
    <w:rsid w:val="007814EF"/>
    <w:rsid w:val="00782A85"/>
    <w:rsid w:val="007853F5"/>
    <w:rsid w:val="007857F6"/>
    <w:rsid w:val="00791AC6"/>
    <w:rsid w:val="007A00D1"/>
    <w:rsid w:val="007A12CE"/>
    <w:rsid w:val="007A15A8"/>
    <w:rsid w:val="007C3444"/>
    <w:rsid w:val="007C3533"/>
    <w:rsid w:val="007D4E7D"/>
    <w:rsid w:val="007D7F3D"/>
    <w:rsid w:val="007E6A08"/>
    <w:rsid w:val="007F1AC3"/>
    <w:rsid w:val="007F21F0"/>
    <w:rsid w:val="007F3959"/>
    <w:rsid w:val="007F5CFC"/>
    <w:rsid w:val="008003BB"/>
    <w:rsid w:val="0081250D"/>
    <w:rsid w:val="00824002"/>
    <w:rsid w:val="0082718E"/>
    <w:rsid w:val="00831D8D"/>
    <w:rsid w:val="00837A85"/>
    <w:rsid w:val="00847ACA"/>
    <w:rsid w:val="00847FF4"/>
    <w:rsid w:val="008525AE"/>
    <w:rsid w:val="0085310B"/>
    <w:rsid w:val="00857953"/>
    <w:rsid w:val="00857E26"/>
    <w:rsid w:val="00861956"/>
    <w:rsid w:val="00863BE0"/>
    <w:rsid w:val="00863F9C"/>
    <w:rsid w:val="00865163"/>
    <w:rsid w:val="008666A1"/>
    <w:rsid w:val="008715CD"/>
    <w:rsid w:val="008810B4"/>
    <w:rsid w:val="00883061"/>
    <w:rsid w:val="00883AE0"/>
    <w:rsid w:val="0088466D"/>
    <w:rsid w:val="00885504"/>
    <w:rsid w:val="00886A16"/>
    <w:rsid w:val="0089717A"/>
    <w:rsid w:val="008976FB"/>
    <w:rsid w:val="008A7B51"/>
    <w:rsid w:val="008B200F"/>
    <w:rsid w:val="008B6A02"/>
    <w:rsid w:val="008B70BF"/>
    <w:rsid w:val="008C35B1"/>
    <w:rsid w:val="008C5337"/>
    <w:rsid w:val="008C5985"/>
    <w:rsid w:val="008D30B7"/>
    <w:rsid w:val="008D4A2B"/>
    <w:rsid w:val="008F4CD7"/>
    <w:rsid w:val="008F5723"/>
    <w:rsid w:val="009014CD"/>
    <w:rsid w:val="009034DA"/>
    <w:rsid w:val="00903737"/>
    <w:rsid w:val="009046EB"/>
    <w:rsid w:val="0090643F"/>
    <w:rsid w:val="0090688D"/>
    <w:rsid w:val="0091127C"/>
    <w:rsid w:val="0091177E"/>
    <w:rsid w:val="009134A9"/>
    <w:rsid w:val="00922F49"/>
    <w:rsid w:val="00927892"/>
    <w:rsid w:val="00927DE0"/>
    <w:rsid w:val="00930C05"/>
    <w:rsid w:val="00936111"/>
    <w:rsid w:val="0093712F"/>
    <w:rsid w:val="009449F2"/>
    <w:rsid w:val="0096206C"/>
    <w:rsid w:val="00965229"/>
    <w:rsid w:val="00966708"/>
    <w:rsid w:val="00970DB2"/>
    <w:rsid w:val="009762A3"/>
    <w:rsid w:val="00985D2D"/>
    <w:rsid w:val="00993CDE"/>
    <w:rsid w:val="00995246"/>
    <w:rsid w:val="009A03B9"/>
    <w:rsid w:val="009A307F"/>
    <w:rsid w:val="009B087F"/>
    <w:rsid w:val="009B280D"/>
    <w:rsid w:val="009B48D9"/>
    <w:rsid w:val="009B6D2C"/>
    <w:rsid w:val="009C2E22"/>
    <w:rsid w:val="009D5072"/>
    <w:rsid w:val="009E388E"/>
    <w:rsid w:val="009E490D"/>
    <w:rsid w:val="009E54A3"/>
    <w:rsid w:val="009E77AF"/>
    <w:rsid w:val="009F0554"/>
    <w:rsid w:val="009F0BFB"/>
    <w:rsid w:val="00A0009C"/>
    <w:rsid w:val="00A02492"/>
    <w:rsid w:val="00A0747F"/>
    <w:rsid w:val="00A10556"/>
    <w:rsid w:val="00A209E6"/>
    <w:rsid w:val="00A23F92"/>
    <w:rsid w:val="00A25B4A"/>
    <w:rsid w:val="00A25E0E"/>
    <w:rsid w:val="00A267D9"/>
    <w:rsid w:val="00A31CFC"/>
    <w:rsid w:val="00A3419D"/>
    <w:rsid w:val="00A40A12"/>
    <w:rsid w:val="00A4172A"/>
    <w:rsid w:val="00A4663E"/>
    <w:rsid w:val="00A4710A"/>
    <w:rsid w:val="00A5051E"/>
    <w:rsid w:val="00A5073B"/>
    <w:rsid w:val="00A53BE0"/>
    <w:rsid w:val="00A53BFD"/>
    <w:rsid w:val="00A603C8"/>
    <w:rsid w:val="00A658B5"/>
    <w:rsid w:val="00A701F5"/>
    <w:rsid w:val="00A72DF9"/>
    <w:rsid w:val="00A75F22"/>
    <w:rsid w:val="00A7600A"/>
    <w:rsid w:val="00A87C81"/>
    <w:rsid w:val="00A911A7"/>
    <w:rsid w:val="00A93300"/>
    <w:rsid w:val="00A95E5F"/>
    <w:rsid w:val="00A9694D"/>
    <w:rsid w:val="00AA5D02"/>
    <w:rsid w:val="00AA5E55"/>
    <w:rsid w:val="00AA77EB"/>
    <w:rsid w:val="00AB0AC3"/>
    <w:rsid w:val="00AB0E54"/>
    <w:rsid w:val="00AB4138"/>
    <w:rsid w:val="00AB66C7"/>
    <w:rsid w:val="00AB7BF9"/>
    <w:rsid w:val="00AC0612"/>
    <w:rsid w:val="00AC0BE2"/>
    <w:rsid w:val="00AC4F14"/>
    <w:rsid w:val="00AE0479"/>
    <w:rsid w:val="00AE2B58"/>
    <w:rsid w:val="00AE51CB"/>
    <w:rsid w:val="00AE6EF7"/>
    <w:rsid w:val="00AE7EA9"/>
    <w:rsid w:val="00AF2DBD"/>
    <w:rsid w:val="00AF5B8C"/>
    <w:rsid w:val="00AF719D"/>
    <w:rsid w:val="00AF7638"/>
    <w:rsid w:val="00B013C0"/>
    <w:rsid w:val="00B025CF"/>
    <w:rsid w:val="00B101BA"/>
    <w:rsid w:val="00B10428"/>
    <w:rsid w:val="00B17330"/>
    <w:rsid w:val="00B17496"/>
    <w:rsid w:val="00B22818"/>
    <w:rsid w:val="00B336EA"/>
    <w:rsid w:val="00B401C1"/>
    <w:rsid w:val="00B4101F"/>
    <w:rsid w:val="00B42F16"/>
    <w:rsid w:val="00B435D5"/>
    <w:rsid w:val="00B43A88"/>
    <w:rsid w:val="00B45229"/>
    <w:rsid w:val="00B46AD8"/>
    <w:rsid w:val="00B64C4E"/>
    <w:rsid w:val="00B66265"/>
    <w:rsid w:val="00B7253D"/>
    <w:rsid w:val="00B74095"/>
    <w:rsid w:val="00B754C8"/>
    <w:rsid w:val="00B81AFB"/>
    <w:rsid w:val="00B8336C"/>
    <w:rsid w:val="00B85BC5"/>
    <w:rsid w:val="00B8722E"/>
    <w:rsid w:val="00B872AE"/>
    <w:rsid w:val="00BA2FB1"/>
    <w:rsid w:val="00BA6CB7"/>
    <w:rsid w:val="00BB0145"/>
    <w:rsid w:val="00BB1E52"/>
    <w:rsid w:val="00BC0E09"/>
    <w:rsid w:val="00BC305A"/>
    <w:rsid w:val="00BC4545"/>
    <w:rsid w:val="00BC5288"/>
    <w:rsid w:val="00BC6D0F"/>
    <w:rsid w:val="00BD7031"/>
    <w:rsid w:val="00BE2EC7"/>
    <w:rsid w:val="00BE6C42"/>
    <w:rsid w:val="00BE6CAA"/>
    <w:rsid w:val="00C06E3F"/>
    <w:rsid w:val="00C06FB0"/>
    <w:rsid w:val="00C0709A"/>
    <w:rsid w:val="00C07564"/>
    <w:rsid w:val="00C1057C"/>
    <w:rsid w:val="00C121B7"/>
    <w:rsid w:val="00C14C18"/>
    <w:rsid w:val="00C17F05"/>
    <w:rsid w:val="00C2398D"/>
    <w:rsid w:val="00C25952"/>
    <w:rsid w:val="00C27840"/>
    <w:rsid w:val="00C30BB2"/>
    <w:rsid w:val="00C334D3"/>
    <w:rsid w:val="00C37649"/>
    <w:rsid w:val="00C41549"/>
    <w:rsid w:val="00C467C8"/>
    <w:rsid w:val="00C5353C"/>
    <w:rsid w:val="00C56BAC"/>
    <w:rsid w:val="00C60FFA"/>
    <w:rsid w:val="00C64537"/>
    <w:rsid w:val="00C64E20"/>
    <w:rsid w:val="00C65B8E"/>
    <w:rsid w:val="00C66D48"/>
    <w:rsid w:val="00C6764C"/>
    <w:rsid w:val="00C717D8"/>
    <w:rsid w:val="00C72996"/>
    <w:rsid w:val="00C80870"/>
    <w:rsid w:val="00C83EB5"/>
    <w:rsid w:val="00C85D8F"/>
    <w:rsid w:val="00C85E67"/>
    <w:rsid w:val="00C92A11"/>
    <w:rsid w:val="00C952D0"/>
    <w:rsid w:val="00C968C4"/>
    <w:rsid w:val="00CA3BE0"/>
    <w:rsid w:val="00CA4250"/>
    <w:rsid w:val="00CB47BA"/>
    <w:rsid w:val="00CB5E15"/>
    <w:rsid w:val="00CC18FA"/>
    <w:rsid w:val="00CC2560"/>
    <w:rsid w:val="00CC2F39"/>
    <w:rsid w:val="00CD0DDE"/>
    <w:rsid w:val="00CD25B3"/>
    <w:rsid w:val="00CD3575"/>
    <w:rsid w:val="00CD4298"/>
    <w:rsid w:val="00CD5A1F"/>
    <w:rsid w:val="00CD7C10"/>
    <w:rsid w:val="00CE2819"/>
    <w:rsid w:val="00CE3070"/>
    <w:rsid w:val="00CE34F9"/>
    <w:rsid w:val="00CE4092"/>
    <w:rsid w:val="00CE4209"/>
    <w:rsid w:val="00CE4D4E"/>
    <w:rsid w:val="00D0311F"/>
    <w:rsid w:val="00D06FEC"/>
    <w:rsid w:val="00D109C0"/>
    <w:rsid w:val="00D20F9A"/>
    <w:rsid w:val="00D2450E"/>
    <w:rsid w:val="00D247C9"/>
    <w:rsid w:val="00D36C64"/>
    <w:rsid w:val="00D51B39"/>
    <w:rsid w:val="00D52CCE"/>
    <w:rsid w:val="00D544D9"/>
    <w:rsid w:val="00D55973"/>
    <w:rsid w:val="00D60589"/>
    <w:rsid w:val="00D60765"/>
    <w:rsid w:val="00D60BFC"/>
    <w:rsid w:val="00D63E8E"/>
    <w:rsid w:val="00D649A3"/>
    <w:rsid w:val="00D6766F"/>
    <w:rsid w:val="00D679F8"/>
    <w:rsid w:val="00D725D3"/>
    <w:rsid w:val="00D74A01"/>
    <w:rsid w:val="00D75483"/>
    <w:rsid w:val="00D76D4D"/>
    <w:rsid w:val="00D842C8"/>
    <w:rsid w:val="00D845A7"/>
    <w:rsid w:val="00D84D48"/>
    <w:rsid w:val="00D91050"/>
    <w:rsid w:val="00D91BEF"/>
    <w:rsid w:val="00D95FC9"/>
    <w:rsid w:val="00DA75E8"/>
    <w:rsid w:val="00DB4033"/>
    <w:rsid w:val="00DB44FE"/>
    <w:rsid w:val="00DB647D"/>
    <w:rsid w:val="00DC2898"/>
    <w:rsid w:val="00DD04FA"/>
    <w:rsid w:val="00DD3908"/>
    <w:rsid w:val="00DD3ADD"/>
    <w:rsid w:val="00DD555F"/>
    <w:rsid w:val="00DE14D0"/>
    <w:rsid w:val="00DE745E"/>
    <w:rsid w:val="00DF50F2"/>
    <w:rsid w:val="00DF61DF"/>
    <w:rsid w:val="00DF764D"/>
    <w:rsid w:val="00E103E5"/>
    <w:rsid w:val="00E12A4E"/>
    <w:rsid w:val="00E12DBA"/>
    <w:rsid w:val="00E14D33"/>
    <w:rsid w:val="00E26FE0"/>
    <w:rsid w:val="00E3330A"/>
    <w:rsid w:val="00E34E9E"/>
    <w:rsid w:val="00E35A70"/>
    <w:rsid w:val="00E4440D"/>
    <w:rsid w:val="00E4586C"/>
    <w:rsid w:val="00E47327"/>
    <w:rsid w:val="00E64C7C"/>
    <w:rsid w:val="00E66776"/>
    <w:rsid w:val="00E711E9"/>
    <w:rsid w:val="00E7631F"/>
    <w:rsid w:val="00E810BF"/>
    <w:rsid w:val="00E84199"/>
    <w:rsid w:val="00E84B16"/>
    <w:rsid w:val="00E90A01"/>
    <w:rsid w:val="00E9187D"/>
    <w:rsid w:val="00E9191E"/>
    <w:rsid w:val="00E93EE4"/>
    <w:rsid w:val="00E9774A"/>
    <w:rsid w:val="00EA2D0D"/>
    <w:rsid w:val="00EA7FA3"/>
    <w:rsid w:val="00EB3884"/>
    <w:rsid w:val="00EC1BCC"/>
    <w:rsid w:val="00EC3753"/>
    <w:rsid w:val="00ED4980"/>
    <w:rsid w:val="00ED5322"/>
    <w:rsid w:val="00ED6DBA"/>
    <w:rsid w:val="00EE46EA"/>
    <w:rsid w:val="00EE6EF0"/>
    <w:rsid w:val="00EF07CE"/>
    <w:rsid w:val="00EF0CCA"/>
    <w:rsid w:val="00EF1D3F"/>
    <w:rsid w:val="00EF64E4"/>
    <w:rsid w:val="00F037ED"/>
    <w:rsid w:val="00F10445"/>
    <w:rsid w:val="00F13266"/>
    <w:rsid w:val="00F14527"/>
    <w:rsid w:val="00F15B20"/>
    <w:rsid w:val="00F24FE5"/>
    <w:rsid w:val="00F2590A"/>
    <w:rsid w:val="00F340E4"/>
    <w:rsid w:val="00F4167D"/>
    <w:rsid w:val="00F47D61"/>
    <w:rsid w:val="00F50C13"/>
    <w:rsid w:val="00F52F36"/>
    <w:rsid w:val="00F60C45"/>
    <w:rsid w:val="00F62FC0"/>
    <w:rsid w:val="00F71E9F"/>
    <w:rsid w:val="00F72415"/>
    <w:rsid w:val="00F72569"/>
    <w:rsid w:val="00F733FC"/>
    <w:rsid w:val="00F75715"/>
    <w:rsid w:val="00F90D15"/>
    <w:rsid w:val="00F91174"/>
    <w:rsid w:val="00F943D6"/>
    <w:rsid w:val="00F95B66"/>
    <w:rsid w:val="00F96FFA"/>
    <w:rsid w:val="00F97604"/>
    <w:rsid w:val="00FA2241"/>
    <w:rsid w:val="00FA66DA"/>
    <w:rsid w:val="00FA6889"/>
    <w:rsid w:val="00FC4A5C"/>
    <w:rsid w:val="00FE154A"/>
    <w:rsid w:val="00FF3785"/>
    <w:rsid w:val="00FF60EF"/>
    <w:rsid w:val="00FF6994"/>
    <w:rsid w:val="00FF73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3F"/>
    <w:rPr>
      <w:rFonts w:ascii="Arial Narrow" w:eastAsia="Times New Roman" w:hAnsi="Arial Narrow"/>
      <w:sz w:val="24"/>
      <w:szCs w:val="24"/>
    </w:rPr>
  </w:style>
  <w:style w:type="paragraph" w:styleId="Ttulo4">
    <w:name w:val="heading 4"/>
    <w:basedOn w:val="Normal"/>
    <w:next w:val="Normal"/>
    <w:link w:val="Ttulo4Char"/>
    <w:semiHidden/>
    <w:unhideWhenUsed/>
    <w:qFormat/>
    <w:rsid w:val="007F21F0"/>
    <w:pPr>
      <w:keepNext/>
      <w:spacing w:before="240" w:after="60"/>
      <w:outlineLvl w:val="3"/>
    </w:pPr>
    <w:rPr>
      <w:rFonts w:ascii="Calibri" w:hAnsi="Calibri"/>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7F21F0"/>
    <w:rPr>
      <w:rFonts w:ascii="Calibri" w:eastAsia="Times New Roman" w:hAnsi="Calibri" w:cs="Times New Roman"/>
      <w:b/>
      <w:bCs/>
      <w:sz w:val="28"/>
      <w:szCs w:val="28"/>
      <w:lang w:eastAsia="pt-BR"/>
    </w:rPr>
  </w:style>
  <w:style w:type="paragraph" w:styleId="Corpodetexto">
    <w:name w:val="Body Text"/>
    <w:basedOn w:val="Normal"/>
    <w:link w:val="CorpodetextoChar"/>
    <w:rsid w:val="007F21F0"/>
    <w:pPr>
      <w:tabs>
        <w:tab w:val="left" w:pos="2268"/>
      </w:tabs>
      <w:spacing w:line="360" w:lineRule="auto"/>
    </w:pPr>
    <w:rPr>
      <w:rFonts w:ascii="Arial" w:hAnsi="Arial"/>
      <w:szCs w:val="20"/>
    </w:rPr>
  </w:style>
  <w:style w:type="character" w:customStyle="1" w:styleId="CorpodetextoChar">
    <w:name w:val="Corpo de texto Char"/>
    <w:basedOn w:val="Fontepargpadro"/>
    <w:link w:val="Corpodetexto"/>
    <w:rsid w:val="007F21F0"/>
    <w:rPr>
      <w:rFonts w:ascii="Arial" w:eastAsia="Times New Roman" w:hAnsi="Arial" w:cs="Times New Roman"/>
      <w:sz w:val="24"/>
      <w:szCs w:val="20"/>
      <w:lang w:eastAsia="pt-BR"/>
    </w:rPr>
  </w:style>
  <w:style w:type="paragraph" w:styleId="Cabealho">
    <w:name w:val="header"/>
    <w:basedOn w:val="Normal"/>
    <w:link w:val="CabealhoChar"/>
    <w:rsid w:val="007F21F0"/>
    <w:pPr>
      <w:tabs>
        <w:tab w:val="center" w:pos="4252"/>
        <w:tab w:val="right" w:pos="8504"/>
      </w:tabs>
    </w:pPr>
  </w:style>
  <w:style w:type="character" w:customStyle="1" w:styleId="CabealhoChar">
    <w:name w:val="Cabeçalho Char"/>
    <w:basedOn w:val="Fontepargpadro"/>
    <w:link w:val="Cabealho"/>
    <w:rsid w:val="007F21F0"/>
    <w:rPr>
      <w:rFonts w:ascii="Arial Narrow" w:eastAsia="Times New Roman" w:hAnsi="Arial Narrow" w:cs="Times New Roman"/>
      <w:sz w:val="24"/>
      <w:szCs w:val="24"/>
      <w:lang w:eastAsia="pt-BR"/>
    </w:rPr>
  </w:style>
  <w:style w:type="paragraph" w:styleId="Rodap">
    <w:name w:val="footer"/>
    <w:basedOn w:val="Normal"/>
    <w:link w:val="RodapChar"/>
    <w:rsid w:val="007F21F0"/>
    <w:pPr>
      <w:tabs>
        <w:tab w:val="center" w:pos="4252"/>
        <w:tab w:val="right" w:pos="8504"/>
      </w:tabs>
    </w:pPr>
  </w:style>
  <w:style w:type="character" w:customStyle="1" w:styleId="RodapChar">
    <w:name w:val="Rodapé Char"/>
    <w:basedOn w:val="Fontepargpadro"/>
    <w:link w:val="Rodap"/>
    <w:rsid w:val="007F21F0"/>
    <w:rPr>
      <w:rFonts w:ascii="Arial Narrow" w:eastAsia="Times New Roman" w:hAnsi="Arial Narrow" w:cs="Times New Roman"/>
      <w:sz w:val="24"/>
      <w:szCs w:val="24"/>
      <w:lang w:eastAsia="pt-BR"/>
    </w:rPr>
  </w:style>
  <w:style w:type="character" w:styleId="Nmerodepgina">
    <w:name w:val="page number"/>
    <w:basedOn w:val="Fontepargpadro"/>
    <w:rsid w:val="007F21F0"/>
  </w:style>
  <w:style w:type="paragraph" w:styleId="Textodenotaderodap">
    <w:name w:val="footnote text"/>
    <w:aliases w:val=" Char, Char Char Char,Char,Char Char Char,Char Char,Char Char Char Char,Char Char Char Char Char Char,Char Char Char Char Char Char Char Char,Char Char Char Char Char1 Char Char,Char Char Char Char Char1 Char"/>
    <w:basedOn w:val="Normal"/>
    <w:link w:val="TextodenotaderodapChar"/>
    <w:qFormat/>
    <w:rsid w:val="007F21F0"/>
    <w:rPr>
      <w:rFonts w:ascii="Times New Roman" w:hAnsi="Times New Roman"/>
      <w:sz w:val="20"/>
      <w:szCs w:val="20"/>
    </w:rPr>
  </w:style>
  <w:style w:type="character" w:customStyle="1" w:styleId="TextodenotaderodapChar">
    <w:name w:val="Texto de nota de rodapé Char"/>
    <w:aliases w:val=" Char Char, Char Char Char Char,Char Char1,Char Char Char Char1,Char Char Char1,Char Char Char Char Char,Char Char Char Char Char Char Char,Char Char Char Char Char Char Char Char Char,Char Char Char Char Char1 Char Char1"/>
    <w:basedOn w:val="Fontepargpadro"/>
    <w:link w:val="Textodenotaderodap"/>
    <w:rsid w:val="007F21F0"/>
    <w:rPr>
      <w:rFonts w:ascii="Times New Roman" w:eastAsia="Times New Roman" w:hAnsi="Times New Roman" w:cs="Times New Roman"/>
      <w:sz w:val="20"/>
      <w:szCs w:val="20"/>
      <w:lang w:eastAsia="pt-BR"/>
    </w:rPr>
  </w:style>
  <w:style w:type="character" w:styleId="Refdenotaderodap">
    <w:name w:val="footnote reference"/>
    <w:basedOn w:val="Fontepargpadro"/>
    <w:rsid w:val="007F21F0"/>
    <w:rPr>
      <w:vertAlign w:val="superscript"/>
    </w:rPr>
  </w:style>
  <w:style w:type="paragraph" w:customStyle="1" w:styleId="CEINCISO">
    <w:name w:val="CEINCISO"/>
    <w:basedOn w:val="Normal"/>
    <w:rsid w:val="007F21F0"/>
    <w:pPr>
      <w:snapToGrid w:val="0"/>
      <w:spacing w:before="100"/>
      <w:ind w:left="851"/>
      <w:jc w:val="both"/>
    </w:pPr>
    <w:rPr>
      <w:rFonts w:ascii="Times New Roman" w:hAnsi="Times New Roman"/>
      <w:bCs/>
      <w:sz w:val="20"/>
    </w:rPr>
  </w:style>
  <w:style w:type="paragraph" w:customStyle="1" w:styleId="CEARTIGO">
    <w:name w:val="CEARTIGO"/>
    <w:basedOn w:val="Normal"/>
    <w:rsid w:val="007F21F0"/>
    <w:pPr>
      <w:snapToGrid w:val="0"/>
      <w:spacing w:before="360"/>
      <w:ind w:firstLine="567"/>
      <w:jc w:val="both"/>
    </w:pPr>
    <w:rPr>
      <w:rFonts w:ascii="Times New Roman" w:hAnsi="Times New Roman"/>
      <w:sz w:val="20"/>
    </w:rPr>
  </w:style>
  <w:style w:type="paragraph" w:styleId="Recuodecorpodetexto2">
    <w:name w:val="Body Text Indent 2"/>
    <w:basedOn w:val="Normal"/>
    <w:link w:val="Recuodecorpodetexto2Char"/>
    <w:rsid w:val="007F21F0"/>
    <w:pPr>
      <w:spacing w:after="120" w:line="480" w:lineRule="auto"/>
      <w:ind w:left="283"/>
    </w:pPr>
  </w:style>
  <w:style w:type="character" w:customStyle="1" w:styleId="Recuodecorpodetexto2Char">
    <w:name w:val="Recuo de corpo de texto 2 Char"/>
    <w:basedOn w:val="Fontepargpadro"/>
    <w:link w:val="Recuodecorpodetexto2"/>
    <w:rsid w:val="007F21F0"/>
    <w:rPr>
      <w:rFonts w:ascii="Arial Narrow" w:eastAsia="Times New Roman" w:hAnsi="Arial Narrow" w:cs="Times New Roman"/>
      <w:sz w:val="24"/>
      <w:szCs w:val="24"/>
      <w:lang w:eastAsia="pt-BR"/>
    </w:rPr>
  </w:style>
  <w:style w:type="paragraph" w:styleId="Recuodecorpodetexto3">
    <w:name w:val="Body Text Indent 3"/>
    <w:basedOn w:val="Normal"/>
    <w:link w:val="Recuodecorpodetexto3Char"/>
    <w:rsid w:val="007F21F0"/>
    <w:pPr>
      <w:spacing w:after="120"/>
      <w:ind w:left="283"/>
    </w:pPr>
    <w:rPr>
      <w:sz w:val="16"/>
      <w:szCs w:val="16"/>
    </w:rPr>
  </w:style>
  <w:style w:type="character" w:customStyle="1" w:styleId="Recuodecorpodetexto3Char">
    <w:name w:val="Recuo de corpo de texto 3 Char"/>
    <w:basedOn w:val="Fontepargpadro"/>
    <w:link w:val="Recuodecorpodetexto3"/>
    <w:rsid w:val="007F21F0"/>
    <w:rPr>
      <w:rFonts w:ascii="Arial Narrow" w:eastAsia="Times New Roman" w:hAnsi="Arial Narrow" w:cs="Times New Roman"/>
      <w:sz w:val="16"/>
      <w:szCs w:val="16"/>
      <w:lang w:eastAsia="pt-BR"/>
    </w:rPr>
  </w:style>
  <w:style w:type="character" w:customStyle="1" w:styleId="st1">
    <w:name w:val="st1"/>
    <w:basedOn w:val="Fontepargpadro"/>
    <w:rsid w:val="007F21F0"/>
  </w:style>
  <w:style w:type="paragraph" w:customStyle="1" w:styleId="textousual">
    <w:name w:val="texto usual"/>
    <w:basedOn w:val="Normal"/>
    <w:rsid w:val="007F21F0"/>
    <w:pPr>
      <w:ind w:firstLine="2268"/>
      <w:jc w:val="both"/>
    </w:pPr>
    <w:rPr>
      <w:rFonts w:ascii="Times New Roman" w:hAnsi="Times New Roman"/>
      <w:szCs w:val="20"/>
    </w:rPr>
  </w:style>
  <w:style w:type="character" w:customStyle="1" w:styleId="firstementa">
    <w:name w:val="firstementa"/>
    <w:basedOn w:val="Fontepargpadro"/>
    <w:rsid w:val="007F21F0"/>
  </w:style>
  <w:style w:type="character" w:customStyle="1" w:styleId="marcapalavra">
    <w:name w:val="marca_palavra"/>
    <w:basedOn w:val="Fontepargpadro"/>
    <w:rsid w:val="007F21F0"/>
  </w:style>
  <w:style w:type="character" w:customStyle="1" w:styleId="hidden">
    <w:name w:val="hidden"/>
    <w:basedOn w:val="Fontepargpadro"/>
    <w:rsid w:val="007F21F0"/>
  </w:style>
  <w:style w:type="character" w:customStyle="1" w:styleId="apple-converted-space">
    <w:name w:val="apple-converted-space"/>
    <w:basedOn w:val="Fontepargpadro"/>
    <w:rsid w:val="007F21F0"/>
  </w:style>
  <w:style w:type="character" w:styleId="nfase">
    <w:name w:val="Emphasis"/>
    <w:basedOn w:val="Fontepargpadro"/>
    <w:uiPriority w:val="20"/>
    <w:qFormat/>
    <w:rsid w:val="00560C42"/>
    <w:rPr>
      <w:i/>
      <w:iCs/>
    </w:rPr>
  </w:style>
  <w:style w:type="character" w:customStyle="1" w:styleId="hidden-text">
    <w:name w:val="hidden-text"/>
    <w:basedOn w:val="Fontepargpadro"/>
    <w:rsid w:val="00560C42"/>
  </w:style>
  <w:style w:type="paragraph" w:styleId="NormalWeb">
    <w:name w:val="Normal (Web)"/>
    <w:basedOn w:val="Normal"/>
    <w:uiPriority w:val="99"/>
    <w:rsid w:val="002B4EAE"/>
    <w:pPr>
      <w:spacing w:before="100" w:beforeAutospacing="1" w:after="100" w:afterAutospacing="1"/>
    </w:pPr>
    <w:rPr>
      <w:rFonts w:ascii="Times New Roman" w:hAnsi="Times New Roman"/>
    </w:rPr>
  </w:style>
  <w:style w:type="paragraph" w:customStyle="1" w:styleId="PargrafoNormal">
    <w:name w:val="Parágrafo Normal"/>
    <w:basedOn w:val="Normal"/>
    <w:link w:val="PargrafoNormalChar"/>
    <w:rsid w:val="002B4EAE"/>
    <w:pPr>
      <w:spacing w:after="60" w:line="360" w:lineRule="auto"/>
      <w:ind w:firstLine="1418"/>
      <w:jc w:val="both"/>
    </w:pPr>
    <w:rPr>
      <w:rFonts w:ascii="Arial" w:hAnsi="Arial"/>
      <w:szCs w:val="20"/>
    </w:rPr>
  </w:style>
  <w:style w:type="paragraph" w:customStyle="1" w:styleId="CEARTIGO100">
    <w:name w:val="CEARTIGO100"/>
    <w:basedOn w:val="Normal"/>
    <w:rsid w:val="002B4EAE"/>
    <w:pPr>
      <w:tabs>
        <w:tab w:val="right" w:pos="1219"/>
      </w:tabs>
      <w:snapToGrid w:val="0"/>
      <w:spacing w:before="360"/>
      <w:ind w:firstLine="567"/>
      <w:jc w:val="both"/>
    </w:pPr>
    <w:rPr>
      <w:rFonts w:ascii="Times New Roman" w:hAnsi="Times New Roman"/>
      <w:sz w:val="20"/>
    </w:rPr>
  </w:style>
  <w:style w:type="paragraph" w:customStyle="1" w:styleId="EstiloTaquigrafia">
    <w:name w:val="Estilo Taquigrafia"/>
    <w:basedOn w:val="Normal"/>
    <w:rsid w:val="002B4EAE"/>
    <w:pPr>
      <w:spacing w:line="360" w:lineRule="auto"/>
      <w:ind w:firstLine="1701"/>
      <w:jc w:val="both"/>
    </w:pPr>
    <w:rPr>
      <w:rFonts w:ascii="Arial" w:hAnsi="Arial" w:cs="Arial"/>
      <w:sz w:val="22"/>
      <w:szCs w:val="22"/>
    </w:rPr>
  </w:style>
  <w:style w:type="paragraph" w:customStyle="1" w:styleId="Ementa-Corpo">
    <w:name w:val="Ementa - Corpo"/>
    <w:basedOn w:val="Normal"/>
    <w:rsid w:val="0056024F"/>
    <w:pPr>
      <w:ind w:left="2835"/>
      <w:jc w:val="both"/>
    </w:pPr>
    <w:rPr>
      <w:rFonts w:ascii="Arial" w:hAnsi="Arial" w:cs="Arial"/>
      <w:b/>
      <w:bCs/>
      <w:sz w:val="22"/>
      <w:szCs w:val="22"/>
    </w:rPr>
  </w:style>
  <w:style w:type="character" w:styleId="Hyperlink">
    <w:name w:val="Hyperlink"/>
    <w:basedOn w:val="Fontepargpadro"/>
    <w:uiPriority w:val="99"/>
    <w:semiHidden/>
    <w:unhideWhenUsed/>
    <w:rsid w:val="007814EF"/>
    <w:rPr>
      <w:color w:val="0000FF"/>
      <w:u w:val="single"/>
    </w:rPr>
  </w:style>
  <w:style w:type="character" w:styleId="Forte">
    <w:name w:val="Strong"/>
    <w:basedOn w:val="Fontepargpadro"/>
    <w:uiPriority w:val="22"/>
    <w:qFormat/>
    <w:rsid w:val="007814EF"/>
    <w:rPr>
      <w:b/>
      <w:bCs/>
    </w:rPr>
  </w:style>
  <w:style w:type="character" w:customStyle="1" w:styleId="cecondensado">
    <w:name w:val="cecondensado"/>
    <w:basedOn w:val="Fontepargpadro"/>
    <w:rsid w:val="00D36C64"/>
  </w:style>
  <w:style w:type="paragraph" w:customStyle="1" w:styleId="cepargrafo">
    <w:name w:val="cepargrafo"/>
    <w:basedOn w:val="Normal"/>
    <w:rsid w:val="00D36C64"/>
    <w:pPr>
      <w:spacing w:before="100" w:beforeAutospacing="1" w:after="100" w:afterAutospacing="1"/>
    </w:pPr>
    <w:rPr>
      <w:rFonts w:ascii="Times New Roman" w:hAnsi="Times New Roman"/>
    </w:rPr>
  </w:style>
  <w:style w:type="paragraph" w:customStyle="1" w:styleId="ceinciso0">
    <w:name w:val="ceinciso"/>
    <w:basedOn w:val="Normal"/>
    <w:rsid w:val="00D36C64"/>
    <w:pPr>
      <w:spacing w:before="100" w:beforeAutospacing="1" w:after="100" w:afterAutospacing="1"/>
    </w:pPr>
    <w:rPr>
      <w:rFonts w:ascii="Times New Roman" w:hAnsi="Times New Roman"/>
    </w:rPr>
  </w:style>
  <w:style w:type="character" w:customStyle="1" w:styleId="PargrafoNormalChar">
    <w:name w:val="Parágrafo Normal Char"/>
    <w:link w:val="PargrafoNormal"/>
    <w:locked/>
    <w:rsid w:val="00301468"/>
    <w:rPr>
      <w:rFonts w:ascii="Arial" w:eastAsia="Times New Roman" w:hAnsi="Arial"/>
      <w:sz w:val="24"/>
    </w:rPr>
  </w:style>
  <w:style w:type="paragraph" w:customStyle="1" w:styleId="Corpodetexto21">
    <w:name w:val="Corpo de texto 21"/>
    <w:basedOn w:val="Normal"/>
    <w:rsid w:val="00301468"/>
    <w:pPr>
      <w:spacing w:line="360" w:lineRule="auto"/>
      <w:ind w:firstLine="2268"/>
      <w:jc w:val="both"/>
    </w:pPr>
    <w:rPr>
      <w:szCs w:val="20"/>
    </w:rPr>
  </w:style>
  <w:style w:type="paragraph" w:styleId="Textodebalo">
    <w:name w:val="Balloon Text"/>
    <w:basedOn w:val="Normal"/>
    <w:link w:val="TextodebaloChar"/>
    <w:uiPriority w:val="99"/>
    <w:semiHidden/>
    <w:unhideWhenUsed/>
    <w:rsid w:val="00FF3785"/>
    <w:rPr>
      <w:rFonts w:ascii="Tahoma" w:hAnsi="Tahoma" w:cs="Tahoma"/>
      <w:sz w:val="16"/>
      <w:szCs w:val="16"/>
    </w:rPr>
  </w:style>
  <w:style w:type="character" w:customStyle="1" w:styleId="TextodebaloChar">
    <w:name w:val="Texto de balão Char"/>
    <w:basedOn w:val="Fontepargpadro"/>
    <w:link w:val="Textodebalo"/>
    <w:uiPriority w:val="99"/>
    <w:semiHidden/>
    <w:rsid w:val="00FF3785"/>
    <w:rPr>
      <w:rFonts w:ascii="Tahoma" w:eastAsia="Times New Roman" w:hAnsi="Tahoma" w:cs="Tahoma"/>
      <w:sz w:val="16"/>
      <w:szCs w:val="16"/>
    </w:rPr>
  </w:style>
  <w:style w:type="paragraph" w:styleId="Corpodetexto3">
    <w:name w:val="Body Text 3"/>
    <w:basedOn w:val="Normal"/>
    <w:link w:val="Corpodetexto3Char"/>
    <w:uiPriority w:val="99"/>
    <w:semiHidden/>
    <w:unhideWhenUsed/>
    <w:rsid w:val="00930C05"/>
    <w:pPr>
      <w:spacing w:after="120"/>
    </w:pPr>
    <w:rPr>
      <w:sz w:val="16"/>
      <w:szCs w:val="16"/>
    </w:rPr>
  </w:style>
  <w:style w:type="character" w:customStyle="1" w:styleId="Corpodetexto3Char">
    <w:name w:val="Corpo de texto 3 Char"/>
    <w:basedOn w:val="Fontepargpadro"/>
    <w:link w:val="Corpodetexto3"/>
    <w:uiPriority w:val="99"/>
    <w:semiHidden/>
    <w:rsid w:val="00930C05"/>
    <w:rPr>
      <w:rFonts w:ascii="Arial Narrow" w:eastAsia="Times New Roman" w:hAnsi="Arial Narrow"/>
      <w:sz w:val="16"/>
      <w:szCs w:val="16"/>
    </w:rPr>
  </w:style>
</w:styles>
</file>

<file path=word/webSettings.xml><?xml version="1.0" encoding="utf-8"?>
<w:webSettings xmlns:r="http://schemas.openxmlformats.org/officeDocument/2006/relationships" xmlns:w="http://schemas.openxmlformats.org/wordprocessingml/2006/main">
  <w:divs>
    <w:div w:id="10486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D2DD-BD0F-4E35-B2C3-4861FA1D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3215</Words>
  <Characters>17367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20541</CharactersWithSpaces>
  <SharedDoc>false</SharedDoc>
  <HLinks>
    <vt:vector size="18" baseType="variant">
      <vt:variant>
        <vt:i4>4522051</vt:i4>
      </vt:variant>
      <vt:variant>
        <vt:i4>3</vt:i4>
      </vt:variant>
      <vt:variant>
        <vt:i4>0</vt:i4>
      </vt:variant>
      <vt:variant>
        <vt:i4>5</vt:i4>
      </vt:variant>
      <vt:variant>
        <vt:lpwstr>http://www.al.rs.gov.br/legis/normas.asp?tipo=lec&amp;norma=11299</vt:lpwstr>
      </vt:variant>
      <vt:variant>
        <vt:lpwstr/>
      </vt:variant>
      <vt:variant>
        <vt:i4>7798867</vt:i4>
      </vt:variant>
      <vt:variant>
        <vt:i4>0</vt:i4>
      </vt:variant>
      <vt:variant>
        <vt:i4>0</vt:i4>
      </vt:variant>
      <vt:variant>
        <vt:i4>5</vt:i4>
      </vt:variant>
      <vt:variant>
        <vt:lpwstr>http://legislacao.planalto.gov.br/legisla/legislacao.nsf/Viw_Identificacao/lei 13.105-2015?OpenDocument</vt:lpwstr>
      </vt:variant>
      <vt:variant>
        <vt:lpwstr/>
      </vt:variant>
      <vt:variant>
        <vt:i4>5767226</vt:i4>
      </vt:variant>
      <vt:variant>
        <vt:i4>0</vt:i4>
      </vt:variant>
      <vt:variant>
        <vt:i4>0</vt:i4>
      </vt:variant>
      <vt:variant>
        <vt:i4>5</vt:i4>
      </vt:variant>
      <vt:variant>
        <vt:lpwstr>http://www.planalto.gov.br/ccivil_03/Constituicao/Emendas/Emc/emc47.htm</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xpadmin</cp:lastModifiedBy>
  <cp:revision>18</cp:revision>
  <cp:lastPrinted>2021-08-23T20:07:00Z</cp:lastPrinted>
  <dcterms:created xsi:type="dcterms:W3CDTF">2021-08-23T17:43:00Z</dcterms:created>
  <dcterms:modified xsi:type="dcterms:W3CDTF">2021-08-23T20:18:00Z</dcterms:modified>
</cp:coreProperties>
</file>